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4D3F" w14:textId="58CB2911" w:rsidR="0093103A" w:rsidRPr="004572E4" w:rsidRDefault="00C87546" w:rsidP="0093103A">
      <w:pPr>
        <w:spacing w:line="240" w:lineRule="auto"/>
        <w:rPr>
          <w:rFonts w:ascii="Invesco Interstate Bold" w:hAnsi="Invesco Interstate Bold"/>
          <w:b/>
          <w:bCs/>
          <w:sz w:val="24"/>
        </w:rPr>
      </w:pPr>
      <w:proofErr w:type="spellStart"/>
      <w:r>
        <w:rPr>
          <w:rFonts w:ascii="Invesco Interstate Bold" w:hAnsi="Invesco Interstate Bold"/>
          <w:b/>
          <w:bCs/>
          <w:sz w:val="24"/>
        </w:rPr>
        <w:t>Invesco</w:t>
      </w:r>
      <w:proofErr w:type="spellEnd"/>
      <w:r>
        <w:rPr>
          <w:rFonts w:ascii="Invesco Interstate Bold" w:hAnsi="Invesco Interstate Bold"/>
          <w:b/>
          <w:bCs/>
          <w:sz w:val="24"/>
        </w:rPr>
        <w:t>: Čtvrtletní</w:t>
      </w:r>
      <w:r w:rsidR="0093103A" w:rsidRPr="004572E4">
        <w:rPr>
          <w:rFonts w:ascii="Invesco Interstate Bold" w:hAnsi="Invesco Interstate Bold"/>
          <w:b/>
          <w:bCs/>
          <w:sz w:val="24"/>
        </w:rPr>
        <w:t xml:space="preserve"> výhled </w:t>
      </w:r>
      <w:r w:rsidR="004A7285">
        <w:rPr>
          <w:rFonts w:ascii="Invesco Interstate Bold" w:hAnsi="Invesco Interstate Bold"/>
          <w:b/>
          <w:bCs/>
          <w:sz w:val="24"/>
        </w:rPr>
        <w:t>pro</w:t>
      </w:r>
      <w:r w:rsidR="0093103A" w:rsidRPr="004572E4">
        <w:rPr>
          <w:rFonts w:ascii="Invesco Interstate Bold" w:hAnsi="Invesco Interstate Bold"/>
          <w:b/>
          <w:bCs/>
          <w:sz w:val="24"/>
        </w:rPr>
        <w:t xml:space="preserve"> </w:t>
      </w:r>
      <w:r>
        <w:rPr>
          <w:rFonts w:ascii="Invesco Interstate Bold" w:hAnsi="Invesco Interstate Bold"/>
          <w:b/>
          <w:bCs/>
          <w:sz w:val="24"/>
        </w:rPr>
        <w:t>alokaci aktiv</w:t>
      </w:r>
    </w:p>
    <w:p w14:paraId="6C00C0F8" w14:textId="77777777" w:rsidR="0093103A" w:rsidRDefault="0093103A" w:rsidP="000253FB">
      <w:pPr>
        <w:spacing w:line="240" w:lineRule="auto"/>
        <w:jc w:val="both"/>
        <w:rPr>
          <w:rFonts w:ascii="Invesco Interstate Light" w:hAnsi="Invesco Interstate Light"/>
          <w:b/>
          <w:bCs/>
          <w:sz w:val="22"/>
          <w:szCs w:val="22"/>
        </w:rPr>
      </w:pPr>
    </w:p>
    <w:p w14:paraId="7A8E615F" w14:textId="3485EEC8" w:rsidR="0093103A" w:rsidRPr="0093103A" w:rsidRDefault="00C87546" w:rsidP="0093103A">
      <w:pPr>
        <w:spacing w:line="240" w:lineRule="auto"/>
        <w:jc w:val="both"/>
        <w:rPr>
          <w:rFonts w:ascii="Invesco Interstate Bold" w:hAnsi="Invesco Interstate Bold"/>
          <w:b/>
          <w:bCs/>
          <w:sz w:val="22"/>
          <w:szCs w:val="22"/>
        </w:rPr>
      </w:pPr>
      <w:r>
        <w:rPr>
          <w:rFonts w:ascii="Invesco Interstate Bold" w:hAnsi="Invesco Interstate Bold"/>
          <w:b/>
          <w:bCs/>
          <w:sz w:val="22"/>
          <w:szCs w:val="22"/>
        </w:rPr>
        <w:t>Kde se nacházíme nyní?</w:t>
      </w:r>
    </w:p>
    <w:p w14:paraId="42C9CD69" w14:textId="77777777" w:rsidR="004401BA" w:rsidRDefault="004401BA" w:rsidP="004401BA">
      <w:pPr>
        <w:spacing w:line="276" w:lineRule="auto"/>
        <w:rPr>
          <w:rFonts w:ascii="Invesco Interstate Light" w:hAnsi="Invesco Interstate Light"/>
          <w:sz w:val="22"/>
          <w:szCs w:val="22"/>
        </w:rPr>
      </w:pPr>
    </w:p>
    <w:p w14:paraId="369199D1" w14:textId="5B2BD55D" w:rsidR="0093103A" w:rsidRPr="0093103A" w:rsidRDefault="00C87546" w:rsidP="00C87546">
      <w:pPr>
        <w:spacing w:line="276" w:lineRule="auto"/>
        <w:jc w:val="both"/>
        <w:rPr>
          <w:rFonts w:ascii="Invesco Interstate Light" w:hAnsi="Invesco Interstate Light"/>
          <w:sz w:val="22"/>
          <w:szCs w:val="22"/>
        </w:rPr>
      </w:pPr>
      <w:r>
        <w:rPr>
          <w:rFonts w:ascii="Invesco Interstate Light" w:hAnsi="Invesco Interstate Light"/>
          <w:sz w:val="22"/>
          <w:szCs w:val="22"/>
        </w:rPr>
        <w:t>Domníváme se, že globální ekonomika nadále zpomaluje a nachází se ve fázi, kterou označujeme jako kontrakci. To vede v rámci naší modelové alokace aktiv k defenzivnímu postavení. Fungujeme ale ve dvanáctiměsíčním horizontu a v tomto časovém rámci očekáváme, že se některé hlavní centrální banky odkloní od vyšších úrokových sazeb (tj. ukončí své „zpřísňování“).</w:t>
      </w:r>
    </w:p>
    <w:p w14:paraId="7F602965" w14:textId="77777777" w:rsidR="004401BA" w:rsidRPr="004401BA" w:rsidRDefault="004401BA" w:rsidP="004401BA">
      <w:pPr>
        <w:spacing w:line="276" w:lineRule="auto"/>
        <w:jc w:val="both"/>
        <w:rPr>
          <w:rFonts w:ascii="Invesco Interstate Light" w:hAnsi="Invesco Interstate Light"/>
          <w:sz w:val="22"/>
          <w:szCs w:val="22"/>
        </w:rPr>
      </w:pPr>
    </w:p>
    <w:p w14:paraId="1D6CB080" w14:textId="18863258" w:rsidR="0093103A" w:rsidRPr="0093103A" w:rsidRDefault="00C87546" w:rsidP="00C87546">
      <w:pPr>
        <w:spacing w:line="276" w:lineRule="auto"/>
        <w:jc w:val="both"/>
        <w:rPr>
          <w:rFonts w:ascii="Invesco Interstate Light" w:hAnsi="Invesco Interstate Light"/>
          <w:sz w:val="22"/>
          <w:szCs w:val="22"/>
        </w:rPr>
      </w:pPr>
      <w:r>
        <w:rPr>
          <w:rFonts w:ascii="Invesco Interstate Light" w:hAnsi="Invesco Interstate Light"/>
          <w:sz w:val="22"/>
          <w:szCs w:val="22"/>
        </w:rPr>
        <w:t xml:space="preserve">Následovat </w:t>
      </w:r>
      <w:r w:rsidRPr="00C87546">
        <w:rPr>
          <w:rFonts w:ascii="Invesco Interstate Light" w:hAnsi="Invesco Interstate Light"/>
          <w:sz w:val="22"/>
          <w:szCs w:val="22"/>
        </w:rPr>
        <w:t>by mohlo hospodářské oživení, které finanční trhy pravděpodobně očekávají. To by přispělo k přílivu rizikovějších aktiv – například úvěrů s vysokým výnosem (HY) - do našich portfolií. V důsledku toho jsme zvolili střední cestu a „nechali se hodit do vody“ a přidali trochu rizika k tomu, co zůstává celkově defenzivním postojem.</w:t>
      </w:r>
    </w:p>
    <w:p w14:paraId="09BE3BEE" w14:textId="7E96E94B"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03FCEEA7" w14:textId="0DF7B7FB" w:rsidR="00C87546" w:rsidRDefault="00C87546" w:rsidP="00C87546">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Naše předpoklady</w:t>
      </w:r>
    </w:p>
    <w:p w14:paraId="7E76A6B7" w14:textId="77777777" w:rsidR="00C87546" w:rsidRPr="004E3E12" w:rsidRDefault="00C87546" w:rsidP="00C87546">
      <w:pPr>
        <w:autoSpaceDE w:val="0"/>
        <w:autoSpaceDN w:val="0"/>
        <w:adjustRightInd w:val="0"/>
        <w:spacing w:line="240" w:lineRule="auto"/>
        <w:rPr>
          <w:rFonts w:ascii="Invesco Interstate Light" w:hAnsi="Invesco Interstate Light"/>
          <w:b/>
          <w:bCs/>
          <w:sz w:val="22"/>
          <w:szCs w:val="22"/>
        </w:rPr>
      </w:pPr>
    </w:p>
    <w:p w14:paraId="541A6E98" w14:textId="0B6BB9D2" w:rsidR="0093103A" w:rsidRPr="0093103A" w:rsidRDefault="00C87546" w:rsidP="0093103A">
      <w:pPr>
        <w:spacing w:line="240" w:lineRule="auto"/>
        <w:jc w:val="both"/>
        <w:rPr>
          <w:rFonts w:ascii="Invesco Interstate Light" w:hAnsi="Invesco Interstate Light"/>
          <w:sz w:val="22"/>
          <w:szCs w:val="22"/>
        </w:rPr>
      </w:pPr>
      <w:r>
        <w:rPr>
          <w:rFonts w:ascii="Invesco Interstate Light" w:hAnsi="Invesco Interstate Light"/>
          <w:sz w:val="22"/>
          <w:szCs w:val="22"/>
        </w:rPr>
        <w:t>Naše prognózy na příštích 12 měsíců jsou založeny na následujících předpokladech:</w:t>
      </w:r>
    </w:p>
    <w:p w14:paraId="3C8F7B2E" w14:textId="77777777" w:rsidR="004401BA" w:rsidRDefault="004401BA" w:rsidP="004401BA"/>
    <w:p w14:paraId="4B2802ED" w14:textId="1F63D58B" w:rsidR="0093103A" w:rsidRDefault="00C87546" w:rsidP="00E60E63">
      <w:pPr>
        <w:pStyle w:val="Odstavecseseznamem"/>
        <w:numPr>
          <w:ilvl w:val="0"/>
          <w:numId w:val="24"/>
        </w:numPr>
        <w:spacing w:line="276" w:lineRule="auto"/>
        <w:jc w:val="both"/>
        <w:rPr>
          <w:rFonts w:ascii="Invesco Interstate Light" w:hAnsi="Invesco Interstate Light"/>
        </w:rPr>
      </w:pPr>
      <w:r>
        <w:rPr>
          <w:rFonts w:ascii="Invesco Interstate Light" w:hAnsi="Invesco Interstate Light"/>
        </w:rPr>
        <w:t>Růst světového HDP se zpomalí, ale pak se vrátí</w:t>
      </w:r>
    </w:p>
    <w:p w14:paraId="34F0AB6C" w14:textId="6D9EE1FD" w:rsidR="00C87546" w:rsidRDefault="00C87546" w:rsidP="00E60E63">
      <w:pPr>
        <w:pStyle w:val="Odstavecseseznamem"/>
        <w:numPr>
          <w:ilvl w:val="0"/>
          <w:numId w:val="24"/>
        </w:numPr>
        <w:spacing w:line="276" w:lineRule="auto"/>
        <w:jc w:val="both"/>
        <w:rPr>
          <w:rFonts w:ascii="Invesco Interstate Light" w:hAnsi="Invesco Interstate Light"/>
        </w:rPr>
      </w:pPr>
      <w:r>
        <w:rPr>
          <w:rFonts w:ascii="Invesco Interstate Light" w:hAnsi="Invesco Interstate Light"/>
        </w:rPr>
        <w:t>Globální inflace se sníží, ale zůstane nad cíli mnoha centrálních bank</w:t>
      </w:r>
    </w:p>
    <w:p w14:paraId="48A64F97" w14:textId="7510D85C" w:rsidR="00C87546" w:rsidRDefault="00C87546" w:rsidP="00E60E63">
      <w:pPr>
        <w:pStyle w:val="Odstavecseseznamem"/>
        <w:numPr>
          <w:ilvl w:val="0"/>
          <w:numId w:val="24"/>
        </w:numPr>
        <w:spacing w:line="276" w:lineRule="auto"/>
        <w:jc w:val="both"/>
        <w:rPr>
          <w:rFonts w:ascii="Invesco Interstate Light" w:hAnsi="Invesco Interstate Light"/>
        </w:rPr>
      </w:pPr>
      <w:r>
        <w:rPr>
          <w:rFonts w:ascii="Invesco Interstate Light" w:hAnsi="Invesco Interstate Light"/>
        </w:rPr>
        <w:t>Hlavní západní centrální banky se blíží ke konci svých cyklů zpřísňování měnové politiky</w:t>
      </w:r>
    </w:p>
    <w:p w14:paraId="6BFAB064" w14:textId="0BC4849E" w:rsidR="00C87546" w:rsidRDefault="00C87546" w:rsidP="00E60E63">
      <w:pPr>
        <w:pStyle w:val="Odstavecseseznamem"/>
        <w:numPr>
          <w:ilvl w:val="0"/>
          <w:numId w:val="24"/>
        </w:numPr>
        <w:spacing w:line="276" w:lineRule="auto"/>
        <w:jc w:val="both"/>
        <w:rPr>
          <w:rFonts w:ascii="Invesco Interstate Light" w:hAnsi="Invesco Interstate Light"/>
        </w:rPr>
      </w:pPr>
      <w:r>
        <w:rPr>
          <w:rFonts w:ascii="Invesco Interstate Light" w:hAnsi="Invesco Interstate Light"/>
        </w:rPr>
        <w:t>Výnosy dlouhodobých vládních dluhopisů budou smíšené</w:t>
      </w:r>
      <w:r w:rsidRPr="00C87546">
        <w:rPr>
          <w:rFonts w:ascii="Invesco Interstate Light" w:hAnsi="Invesco Interstate Light"/>
        </w:rPr>
        <w:t xml:space="preserve">; výnosové </w:t>
      </w:r>
      <w:r>
        <w:rPr>
          <w:rFonts w:ascii="Invesco Interstate Light" w:hAnsi="Invesco Interstate Light"/>
        </w:rPr>
        <w:t>křivky se během druhé poloviny roku 2023 stanou strmější</w:t>
      </w:r>
    </w:p>
    <w:p w14:paraId="2A739D6C" w14:textId="2EFE9AC3" w:rsidR="00C87546" w:rsidRDefault="00C87546" w:rsidP="00E60E63">
      <w:pPr>
        <w:pStyle w:val="Odstavecseseznamem"/>
        <w:numPr>
          <w:ilvl w:val="0"/>
          <w:numId w:val="24"/>
        </w:numPr>
        <w:spacing w:line="276" w:lineRule="auto"/>
        <w:jc w:val="both"/>
        <w:rPr>
          <w:rFonts w:ascii="Invesco Interstate Light" w:hAnsi="Invesco Interstate Light"/>
        </w:rPr>
      </w:pPr>
      <w:r>
        <w:rPr>
          <w:rFonts w:ascii="Invesco Interstate Light" w:hAnsi="Invesco Interstate Light"/>
        </w:rPr>
        <w:t xml:space="preserve">Úvěrové rozpětí se v USA rozšíří, ale v Evropě se zúží a počet nesplácených </w:t>
      </w:r>
      <w:r w:rsidR="00E60E63">
        <w:rPr>
          <w:rFonts w:ascii="Invesco Interstate Light" w:hAnsi="Invesco Interstate Light"/>
        </w:rPr>
        <w:t>úvěrů vzroste</w:t>
      </w:r>
    </w:p>
    <w:p w14:paraId="77D7855E" w14:textId="1AB6031E" w:rsidR="00E60E63" w:rsidRDefault="00E60E63" w:rsidP="00E60E63">
      <w:pPr>
        <w:pStyle w:val="Odstavecseseznamem"/>
        <w:numPr>
          <w:ilvl w:val="0"/>
          <w:numId w:val="24"/>
        </w:numPr>
        <w:spacing w:line="276" w:lineRule="auto"/>
        <w:jc w:val="both"/>
        <w:rPr>
          <w:rFonts w:ascii="Invesco Interstate Light" w:hAnsi="Invesco Interstate Light"/>
        </w:rPr>
      </w:pPr>
      <w:r>
        <w:rPr>
          <w:rFonts w:ascii="Invesco Interstate Light" w:hAnsi="Invesco Interstate Light"/>
        </w:rPr>
        <w:t>Růst dividend z akcií se zmírňuje a výnosy z akcií na některých trzích klesají</w:t>
      </w:r>
    </w:p>
    <w:p w14:paraId="14EE2DA7" w14:textId="77156257" w:rsidR="00E60E63" w:rsidRDefault="00E60E63" w:rsidP="00E60E63">
      <w:pPr>
        <w:pStyle w:val="Odstavecseseznamem"/>
        <w:numPr>
          <w:ilvl w:val="0"/>
          <w:numId w:val="24"/>
        </w:numPr>
        <w:spacing w:line="276" w:lineRule="auto"/>
        <w:jc w:val="both"/>
        <w:rPr>
          <w:rFonts w:ascii="Invesco Interstate Light" w:hAnsi="Invesco Interstate Light"/>
        </w:rPr>
      </w:pPr>
      <w:r>
        <w:rPr>
          <w:rFonts w:ascii="Invesco Interstate Light" w:hAnsi="Invesco Interstate Light"/>
        </w:rPr>
        <w:t>Růst dividend z nemovitostí (REIT) se zmírňuje a výnosy klesají</w:t>
      </w:r>
    </w:p>
    <w:p w14:paraId="346F1829" w14:textId="3C469800" w:rsidR="00E60E63" w:rsidRDefault="00E60E63" w:rsidP="00E60E63">
      <w:pPr>
        <w:pStyle w:val="Odstavecseseznamem"/>
        <w:numPr>
          <w:ilvl w:val="0"/>
          <w:numId w:val="24"/>
        </w:numPr>
        <w:spacing w:line="276" w:lineRule="auto"/>
        <w:jc w:val="both"/>
        <w:rPr>
          <w:rFonts w:ascii="Invesco Interstate Light" w:hAnsi="Invesco Interstate Light"/>
        </w:rPr>
      </w:pPr>
      <w:r>
        <w:rPr>
          <w:rFonts w:ascii="Invesco Interstate Light" w:hAnsi="Invesco Interstate Light"/>
        </w:rPr>
        <w:t>Komodity se potýkají s problémy v důsledku zpomalování globální ekonomiky (s výjimkou zemědělských produktů)</w:t>
      </w:r>
    </w:p>
    <w:p w14:paraId="326FC84F" w14:textId="2B9CDAD8" w:rsidR="00E60E63" w:rsidRPr="00C87546" w:rsidRDefault="00E60E63" w:rsidP="00E60E63">
      <w:pPr>
        <w:pStyle w:val="Odstavecseseznamem"/>
        <w:numPr>
          <w:ilvl w:val="0"/>
          <w:numId w:val="24"/>
        </w:numPr>
        <w:spacing w:line="276" w:lineRule="auto"/>
        <w:jc w:val="both"/>
        <w:rPr>
          <w:rFonts w:ascii="Invesco Interstate Light" w:hAnsi="Invesco Interstate Light"/>
        </w:rPr>
      </w:pPr>
      <w:r>
        <w:rPr>
          <w:rFonts w:ascii="Invesco Interstate Light" w:hAnsi="Invesco Interstate Light"/>
        </w:rPr>
        <w:t>USD oslabuje s tím, jak americký Federální rezervní systém (FED) končí zpřísňování své politiky</w:t>
      </w:r>
    </w:p>
    <w:p w14:paraId="1BB41188" w14:textId="77777777" w:rsidR="004401BA" w:rsidRPr="00B50104" w:rsidRDefault="004401BA" w:rsidP="00E60E63">
      <w:pPr>
        <w:spacing w:line="276" w:lineRule="auto"/>
        <w:jc w:val="both"/>
        <w:rPr>
          <w:rFonts w:ascii="Invesco Interstate Light" w:hAnsi="Invesco Interstate Light"/>
          <w:sz w:val="22"/>
          <w:szCs w:val="22"/>
        </w:rPr>
      </w:pPr>
    </w:p>
    <w:p w14:paraId="70A589D3" w14:textId="559F077E" w:rsidR="00E60E63" w:rsidRDefault="00E60E63" w:rsidP="00E60E63">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Změny v našem modelu</w:t>
      </w:r>
    </w:p>
    <w:p w14:paraId="0ABBF570" w14:textId="77777777" w:rsidR="00E60E63" w:rsidRPr="00E60E63" w:rsidRDefault="00E60E63" w:rsidP="00E60E63">
      <w:pPr>
        <w:pStyle w:val="Normlnweb"/>
        <w:spacing w:line="276" w:lineRule="auto"/>
        <w:jc w:val="both"/>
        <w:rPr>
          <w:rFonts w:ascii="Invesco Interstate Light" w:eastAsia="Times New Roman" w:hAnsi="Invesco Interstate Light"/>
          <w:sz w:val="22"/>
          <w:szCs w:val="22"/>
          <w:lang w:eastAsia="de-DE"/>
        </w:rPr>
      </w:pPr>
      <w:r w:rsidRPr="00E60E63">
        <w:rPr>
          <w:rFonts w:ascii="Invesco Interstate Light" w:eastAsia="Times New Roman" w:hAnsi="Invesco Interstate Light"/>
          <w:sz w:val="22"/>
          <w:szCs w:val="22"/>
          <w:lang w:eastAsia="de-DE"/>
        </w:rPr>
        <w:t xml:space="preserve">Naše analýza hospodářského cyklu naznačuje, že se nacházíme ve fázi poklesu, což podporuje opatrný přístup. Domníváme se však, že ekonomické oživení přijde v horizontu dvanácti měsíců, což nás vede k tomu, abychom do modelové alokace aktiv přidali trochu rizika. Snižujeme váhu státních dluhopisů na </w:t>
      </w:r>
      <w:proofErr w:type="spellStart"/>
      <w:r w:rsidRPr="00E60E63">
        <w:rPr>
          <w:rFonts w:ascii="Invesco Interstate Light" w:eastAsia="Times New Roman" w:hAnsi="Invesco Interstate Light"/>
          <w:sz w:val="22"/>
          <w:szCs w:val="22"/>
          <w:lang w:eastAsia="de-DE"/>
        </w:rPr>
        <w:t>Underweight</w:t>
      </w:r>
      <w:proofErr w:type="spellEnd"/>
      <w:r w:rsidRPr="00E60E63">
        <w:rPr>
          <w:rFonts w:ascii="Invesco Interstate Light" w:eastAsia="Times New Roman" w:hAnsi="Invesco Interstate Light"/>
          <w:sz w:val="22"/>
          <w:szCs w:val="22"/>
          <w:lang w:eastAsia="de-DE"/>
        </w:rPr>
        <w:t xml:space="preserve">, zatímco zvyšujeme váhu IG úvěrů na </w:t>
      </w:r>
      <w:proofErr w:type="spellStart"/>
      <w:r w:rsidRPr="00E60E63">
        <w:rPr>
          <w:rFonts w:ascii="Invesco Interstate Light" w:eastAsia="Times New Roman" w:hAnsi="Invesco Interstate Light"/>
          <w:sz w:val="22"/>
          <w:szCs w:val="22"/>
          <w:lang w:eastAsia="de-DE"/>
        </w:rPr>
        <w:t>Further</w:t>
      </w:r>
      <w:proofErr w:type="spellEnd"/>
      <w:r w:rsidRPr="00E60E63">
        <w:rPr>
          <w:rFonts w:ascii="Invesco Interstate Light" w:eastAsia="Times New Roman" w:hAnsi="Invesco Interstate Light"/>
          <w:sz w:val="22"/>
          <w:szCs w:val="22"/>
          <w:lang w:eastAsia="de-DE"/>
        </w:rPr>
        <w:t xml:space="preserve"> </w:t>
      </w:r>
      <w:proofErr w:type="spellStart"/>
      <w:r w:rsidRPr="00E60E63">
        <w:rPr>
          <w:rFonts w:ascii="Invesco Interstate Light" w:eastAsia="Times New Roman" w:hAnsi="Invesco Interstate Light"/>
          <w:sz w:val="22"/>
          <w:szCs w:val="22"/>
          <w:lang w:eastAsia="de-DE"/>
        </w:rPr>
        <w:t>Overweight</w:t>
      </w:r>
      <w:proofErr w:type="spellEnd"/>
      <w:r w:rsidRPr="00E60E63">
        <w:rPr>
          <w:rFonts w:ascii="Invesco Interstate Light" w:eastAsia="Times New Roman" w:hAnsi="Invesco Interstate Light"/>
          <w:sz w:val="22"/>
          <w:szCs w:val="22"/>
          <w:lang w:eastAsia="de-DE"/>
        </w:rPr>
        <w:t xml:space="preserve"> a váhu nemovitostí na </w:t>
      </w:r>
      <w:proofErr w:type="spellStart"/>
      <w:r w:rsidRPr="00E60E63">
        <w:rPr>
          <w:rFonts w:ascii="Invesco Interstate Light" w:eastAsia="Times New Roman" w:hAnsi="Invesco Interstate Light"/>
          <w:sz w:val="22"/>
          <w:szCs w:val="22"/>
          <w:lang w:eastAsia="de-DE"/>
        </w:rPr>
        <w:t>Overweight</w:t>
      </w:r>
      <w:proofErr w:type="spellEnd"/>
      <w:r w:rsidRPr="00E60E63">
        <w:rPr>
          <w:rFonts w:ascii="Invesco Interstate Light" w:eastAsia="Times New Roman" w:hAnsi="Invesco Interstate Light"/>
          <w:sz w:val="22"/>
          <w:szCs w:val="22"/>
          <w:lang w:eastAsia="de-DE"/>
        </w:rPr>
        <w:t>. "Rizikovost" modelové alokace aktiv podporuje ještě příklon k aktivům rozvíjejících se trhů (EM). Zavádíme částečné zajištění z amerického dolaru do japonského jenu.</w:t>
      </w:r>
    </w:p>
    <w:p w14:paraId="00F1B1A0" w14:textId="77777777" w:rsidR="0093103A" w:rsidRPr="00D52B46" w:rsidRDefault="0093103A" w:rsidP="0093103A">
      <w:pPr>
        <w:spacing w:line="240" w:lineRule="auto"/>
        <w:rPr>
          <w:rFonts w:ascii="Invesco Interstate Light" w:hAnsi="Invesco Interstate Light" w:cs="ArialMT"/>
          <w:sz w:val="24"/>
        </w:rPr>
      </w:pPr>
    </w:p>
    <w:p w14:paraId="40865C59" w14:textId="77777777" w:rsidR="004401BA" w:rsidRDefault="004401BA" w:rsidP="004401BA"/>
    <w:p w14:paraId="3C73B4A8" w14:textId="1B39DA5A" w:rsidR="00B50104" w:rsidRPr="00E60E63" w:rsidRDefault="00E60E63" w:rsidP="00E60E63">
      <w:pPr>
        <w:pStyle w:val="Normlnweb"/>
        <w:spacing w:line="276" w:lineRule="auto"/>
        <w:jc w:val="both"/>
        <w:rPr>
          <w:rFonts w:ascii="Invesco Interstate Light" w:eastAsia="Times New Roman" w:hAnsi="Invesco Interstate Light"/>
          <w:sz w:val="22"/>
          <w:szCs w:val="22"/>
          <w:lang w:eastAsia="de-DE"/>
        </w:rPr>
      </w:pPr>
      <w:r w:rsidRPr="00E60E63">
        <w:rPr>
          <w:rFonts w:ascii="Invesco Interstate Light" w:eastAsia="Times New Roman" w:hAnsi="Invesco Interstate Light"/>
          <w:sz w:val="22"/>
          <w:szCs w:val="22"/>
          <w:lang w:eastAsia="de-DE"/>
        </w:rPr>
        <w:lastRenderedPageBreak/>
        <w:t xml:space="preserve">Asi nejdůležitějším rysem našich předpovědí je, že za 12 měsíců očekáváme snížení sazeb </w:t>
      </w:r>
      <w:proofErr w:type="spellStart"/>
      <w:r w:rsidRPr="00E60E63">
        <w:rPr>
          <w:rFonts w:ascii="Invesco Interstate Light" w:eastAsia="Times New Roman" w:hAnsi="Invesco Interstate Light"/>
          <w:sz w:val="22"/>
          <w:szCs w:val="22"/>
          <w:lang w:eastAsia="de-DE"/>
        </w:rPr>
        <w:t>Fedu</w:t>
      </w:r>
      <w:proofErr w:type="spellEnd"/>
      <w:r w:rsidRPr="00E60E63">
        <w:rPr>
          <w:rFonts w:ascii="Invesco Interstate Light" w:eastAsia="Times New Roman" w:hAnsi="Invesco Interstate Light"/>
          <w:sz w:val="22"/>
          <w:szCs w:val="22"/>
          <w:lang w:eastAsia="de-DE"/>
        </w:rPr>
        <w:t xml:space="preserve"> (i když v mezičase ještě porostou). Předpokládáme, že základní úrokové sazby Evropské centrální banky se za 12 měsíců příliš nezmění (poté co v průběhu vzrostly), a že hlavní asijské sazby by mohly být nepatrně vyšší. Zdá se, že Bank </w:t>
      </w:r>
      <w:proofErr w:type="spellStart"/>
      <w:r w:rsidRPr="00E60E63">
        <w:rPr>
          <w:rFonts w:ascii="Invesco Interstate Light" w:eastAsia="Times New Roman" w:hAnsi="Invesco Interstate Light"/>
          <w:sz w:val="22"/>
          <w:szCs w:val="22"/>
          <w:lang w:eastAsia="de-DE"/>
        </w:rPr>
        <w:t>of</w:t>
      </w:r>
      <w:proofErr w:type="spellEnd"/>
      <w:r w:rsidRPr="00E60E63">
        <w:rPr>
          <w:rFonts w:ascii="Invesco Interstate Light" w:eastAsia="Times New Roman" w:hAnsi="Invesco Interstate Light"/>
          <w:sz w:val="22"/>
          <w:szCs w:val="22"/>
          <w:lang w:eastAsia="de-DE"/>
        </w:rPr>
        <w:t xml:space="preserve"> </w:t>
      </w:r>
      <w:proofErr w:type="spellStart"/>
      <w:r w:rsidRPr="00E60E63">
        <w:rPr>
          <w:rFonts w:ascii="Invesco Interstate Light" w:eastAsia="Times New Roman" w:hAnsi="Invesco Interstate Light"/>
          <w:sz w:val="22"/>
          <w:szCs w:val="22"/>
          <w:lang w:eastAsia="de-DE"/>
        </w:rPr>
        <w:t>England</w:t>
      </w:r>
      <w:proofErr w:type="spellEnd"/>
      <w:r w:rsidRPr="00E60E63">
        <w:rPr>
          <w:rFonts w:ascii="Invesco Interstate Light" w:eastAsia="Times New Roman" w:hAnsi="Invesco Interstate Light"/>
          <w:sz w:val="22"/>
          <w:szCs w:val="22"/>
          <w:lang w:eastAsia="de-DE"/>
        </w:rPr>
        <w:t xml:space="preserve"> bude ze západních centrálních bank zpřísňovat nejagresivněji.</w:t>
      </w:r>
    </w:p>
    <w:p w14:paraId="41AC8C17" w14:textId="77777777" w:rsidR="00E60E63" w:rsidRPr="00E60E63" w:rsidRDefault="00E60E63" w:rsidP="00E60E63">
      <w:pPr>
        <w:pStyle w:val="Normlnweb"/>
        <w:spacing w:beforeAutospacing="0" w:afterAutospacing="0" w:line="276" w:lineRule="auto"/>
        <w:rPr>
          <w:rFonts w:ascii="Invesco Interstate Light" w:eastAsia="Times New Roman" w:hAnsi="Invesco Interstate Light"/>
          <w:sz w:val="22"/>
          <w:szCs w:val="22"/>
          <w:lang w:eastAsia="de-DE"/>
        </w:rPr>
      </w:pPr>
      <w:r w:rsidRPr="00E60E63">
        <w:rPr>
          <w:rFonts w:ascii="Invesco Interstate Light" w:eastAsia="Times New Roman" w:hAnsi="Invesco Interstate Light"/>
          <w:sz w:val="22"/>
          <w:szCs w:val="22"/>
          <w:lang w:eastAsia="de-DE"/>
        </w:rPr>
        <w:t xml:space="preserve">Preferujeme hotovost, nástroje s investičním stupněm, s vysokým výnosem a nemovitosti. Předpokládaný výnos akcií je přiměřený, ale vzhledem k souvisejícímu riziku nedostatečný. </w:t>
      </w:r>
    </w:p>
    <w:p w14:paraId="49C753E5" w14:textId="07A58B8B" w:rsidR="00B50104" w:rsidRPr="00B50104" w:rsidRDefault="00C87546" w:rsidP="00B50104">
      <w:pPr>
        <w:spacing w:line="276" w:lineRule="auto"/>
        <w:jc w:val="both"/>
        <w:rPr>
          <w:rFonts w:ascii="Invesco Interstate Light" w:hAnsi="Invesco Interstate Light"/>
          <w:sz w:val="22"/>
          <w:szCs w:val="22"/>
        </w:rPr>
      </w:pPr>
      <w:r>
        <w:rPr>
          <w:rFonts w:ascii="Invesco Interstate Light" w:hAnsi="Invesco Interstate Light"/>
          <w:sz w:val="22"/>
          <w:szCs w:val="22"/>
        </w:rPr>
        <w:t xml:space="preserve"> </w:t>
      </w:r>
    </w:p>
    <w:p w14:paraId="0ADABF31" w14:textId="1887AADA" w:rsidR="00E60E63" w:rsidRDefault="00E60E63" w:rsidP="001850F5">
      <w:pPr>
        <w:spacing w:line="240" w:lineRule="auto"/>
        <w:jc w:val="both"/>
        <w:rPr>
          <w:rFonts w:ascii="Invesco Interstate Light" w:hAnsi="Invesco Interstate Light"/>
          <w:b/>
          <w:bCs/>
          <w:sz w:val="22"/>
          <w:szCs w:val="22"/>
        </w:rPr>
      </w:pPr>
      <w:r>
        <w:rPr>
          <w:rFonts w:ascii="Invesco Interstate Light" w:hAnsi="Invesco Interstate Light"/>
          <w:b/>
          <w:bCs/>
          <w:sz w:val="22"/>
          <w:szCs w:val="22"/>
        </w:rPr>
        <w:t>Obrázek 1: Očekávané celkové výnosy (anualizované, v místní měně) a modelová alokace aktiv</w:t>
      </w:r>
    </w:p>
    <w:p w14:paraId="752483DC" w14:textId="77777777" w:rsidR="00A12955" w:rsidRDefault="00A12955" w:rsidP="001850F5">
      <w:pPr>
        <w:spacing w:line="240" w:lineRule="auto"/>
        <w:jc w:val="both"/>
        <w:rPr>
          <w:rFonts w:ascii="Invesco Interstate Light" w:hAnsi="Invesco Interstate Light"/>
          <w:b/>
          <w:bCs/>
          <w:sz w:val="22"/>
          <w:szCs w:val="22"/>
        </w:rPr>
      </w:pPr>
    </w:p>
    <w:p w14:paraId="76B1EA7E" w14:textId="6CD01544" w:rsidR="00A12955" w:rsidRDefault="00A12955" w:rsidP="001850F5">
      <w:pPr>
        <w:spacing w:line="240" w:lineRule="auto"/>
        <w:jc w:val="both"/>
        <w:rPr>
          <w:rFonts w:ascii="Invesco Interstate Light" w:hAnsi="Invesco Interstate Light"/>
          <w:sz w:val="22"/>
          <w:szCs w:val="22"/>
        </w:rPr>
      </w:pPr>
      <w:r w:rsidRPr="00A12955">
        <w:rPr>
          <w:rFonts w:ascii="Invesco Interstate Light" w:hAnsi="Invesco Interstate Light"/>
          <w:noProof/>
          <w:sz w:val="22"/>
          <w:szCs w:val="22"/>
        </w:rPr>
        <w:drawing>
          <wp:inline distT="0" distB="0" distL="0" distR="0" wp14:anchorId="05CCC792" wp14:editId="26983C63">
            <wp:extent cx="6108065" cy="3406140"/>
            <wp:effectExtent l="0" t="0" r="6985" b="3810"/>
            <wp:docPr id="3824669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66969" name=""/>
                    <pic:cNvPicPr/>
                  </pic:nvPicPr>
                  <pic:blipFill>
                    <a:blip r:embed="rId11"/>
                    <a:stretch>
                      <a:fillRect/>
                    </a:stretch>
                  </pic:blipFill>
                  <pic:spPr>
                    <a:xfrm>
                      <a:off x="0" y="0"/>
                      <a:ext cx="6108065" cy="3406140"/>
                    </a:xfrm>
                    <a:prstGeom prst="rect">
                      <a:avLst/>
                    </a:prstGeom>
                  </pic:spPr>
                </pic:pic>
              </a:graphicData>
            </a:graphic>
          </wp:inline>
        </w:drawing>
      </w:r>
    </w:p>
    <w:p w14:paraId="6EED00AC" w14:textId="77777777" w:rsidR="00E60E63" w:rsidRDefault="00E60E63" w:rsidP="001850F5">
      <w:pPr>
        <w:spacing w:line="240" w:lineRule="auto"/>
        <w:jc w:val="both"/>
        <w:rPr>
          <w:rFonts w:ascii="Invesco Interstate Light" w:hAnsi="Invesco Interstate Light"/>
          <w:sz w:val="22"/>
          <w:szCs w:val="22"/>
        </w:rPr>
      </w:pPr>
    </w:p>
    <w:p w14:paraId="1CC9C585" w14:textId="639BB07D" w:rsidR="00A12955" w:rsidRPr="00032F05" w:rsidRDefault="00A12955" w:rsidP="001850F5">
      <w:pPr>
        <w:spacing w:line="240" w:lineRule="auto"/>
        <w:jc w:val="both"/>
        <w:rPr>
          <w:rFonts w:ascii="Invesco Interstate Light" w:hAnsi="Invesco Interstate Light"/>
          <w:i/>
          <w:iCs/>
        </w:rPr>
      </w:pPr>
      <w:r w:rsidRPr="00A12955">
        <w:rPr>
          <w:rFonts w:ascii="Invesco Interstate Light" w:hAnsi="Invesco Interstate Light"/>
          <w:i/>
          <w:iCs/>
        </w:rPr>
        <w:t>*Jedná se o teoretické portfolio a slouží pouze pro ilustraci. Nep</w:t>
      </w:r>
      <w:r w:rsidRPr="00A12955">
        <w:rPr>
          <w:rFonts w:ascii="Invesco Interstate Light" w:hAnsi="Invesco Interstate Light" w:hint="eastAsia"/>
          <w:i/>
          <w:iCs/>
        </w:rPr>
        <w:t>ř</w:t>
      </w:r>
      <w:r w:rsidRPr="00A12955">
        <w:rPr>
          <w:rFonts w:ascii="Invesco Interstate Light" w:hAnsi="Invesco Interstate Light"/>
          <w:i/>
          <w:iCs/>
        </w:rPr>
        <w:t>edstavuje skute</w:t>
      </w:r>
      <w:r w:rsidRPr="00A12955">
        <w:rPr>
          <w:rFonts w:ascii="Invesco Interstate Light" w:hAnsi="Invesco Interstate Light" w:hint="eastAsia"/>
          <w:i/>
          <w:iCs/>
        </w:rPr>
        <w:t>č</w:t>
      </w:r>
      <w:r w:rsidRPr="00A12955">
        <w:rPr>
          <w:rFonts w:ascii="Invesco Interstate Light" w:hAnsi="Invesco Interstate Light"/>
          <w:i/>
          <w:iCs/>
        </w:rPr>
        <w:t>né portfolio a není doporu</w:t>
      </w:r>
      <w:r w:rsidRPr="00A12955">
        <w:rPr>
          <w:rFonts w:ascii="Invesco Interstate Light" w:hAnsi="Invesco Interstate Light" w:hint="eastAsia"/>
          <w:i/>
          <w:iCs/>
        </w:rPr>
        <w:t>č</w:t>
      </w:r>
      <w:r w:rsidRPr="00A12955">
        <w:rPr>
          <w:rFonts w:ascii="Invesco Interstate Light" w:hAnsi="Invesco Interstate Light"/>
          <w:i/>
          <w:iCs/>
        </w:rPr>
        <w:t>ením žádné investi</w:t>
      </w:r>
      <w:r w:rsidRPr="00A12955">
        <w:rPr>
          <w:rFonts w:ascii="Invesco Interstate Light" w:hAnsi="Invesco Interstate Light" w:hint="eastAsia"/>
          <w:i/>
          <w:iCs/>
        </w:rPr>
        <w:t>č</w:t>
      </w:r>
      <w:r w:rsidRPr="00A12955">
        <w:rPr>
          <w:rFonts w:ascii="Invesco Interstate Light" w:hAnsi="Invesco Interstate Light"/>
          <w:i/>
          <w:iCs/>
        </w:rPr>
        <w:t>ní nebo obchodní strategie. Šipky ukazují sm</w:t>
      </w:r>
      <w:r w:rsidRPr="00A12955">
        <w:rPr>
          <w:rFonts w:ascii="Invesco Interstate Light" w:hAnsi="Invesco Interstate Light" w:hint="eastAsia"/>
          <w:i/>
          <w:iCs/>
        </w:rPr>
        <w:t>ě</w:t>
      </w:r>
      <w:r w:rsidRPr="00A12955">
        <w:rPr>
          <w:rFonts w:ascii="Invesco Interstate Light" w:hAnsi="Invesco Interstate Light"/>
          <w:i/>
          <w:iCs/>
        </w:rPr>
        <w:t>r zm</w:t>
      </w:r>
      <w:r w:rsidRPr="00A12955">
        <w:rPr>
          <w:rFonts w:ascii="Invesco Interstate Light" w:hAnsi="Invesco Interstate Light" w:hint="eastAsia"/>
          <w:i/>
          <w:iCs/>
        </w:rPr>
        <w:t>ě</w:t>
      </w:r>
      <w:r w:rsidRPr="00A12955">
        <w:rPr>
          <w:rFonts w:ascii="Invesco Interstate Light" w:hAnsi="Invesco Interstate Light"/>
          <w:i/>
          <w:iCs/>
        </w:rPr>
        <w:t>ny alokací. Definice, metodika a prohlášení o vylou</w:t>
      </w:r>
      <w:r w:rsidRPr="00A12955">
        <w:rPr>
          <w:rFonts w:ascii="Invesco Interstate Light" w:hAnsi="Invesco Interstate Light" w:hint="eastAsia"/>
          <w:i/>
          <w:iCs/>
        </w:rPr>
        <w:t>č</w:t>
      </w:r>
      <w:r w:rsidRPr="00A12955">
        <w:rPr>
          <w:rFonts w:ascii="Invesco Interstate Light" w:hAnsi="Invesco Interstate Light"/>
          <w:i/>
          <w:iCs/>
        </w:rPr>
        <w:t>ení odpov</w:t>
      </w:r>
      <w:r w:rsidRPr="00A12955">
        <w:rPr>
          <w:rFonts w:ascii="Invesco Interstate Light" w:hAnsi="Invesco Interstate Light" w:hint="eastAsia"/>
          <w:i/>
          <w:iCs/>
        </w:rPr>
        <w:t>ě</w:t>
      </w:r>
      <w:r w:rsidRPr="00A12955">
        <w:rPr>
          <w:rFonts w:ascii="Invesco Interstate Light" w:hAnsi="Invesco Interstate Light"/>
          <w:i/>
          <w:iCs/>
        </w:rPr>
        <w:t>dnosti jsou uvedeny v p</w:t>
      </w:r>
      <w:r w:rsidRPr="00A12955">
        <w:rPr>
          <w:rFonts w:ascii="Invesco Interstate Light" w:hAnsi="Invesco Interstate Light" w:hint="eastAsia"/>
          <w:i/>
          <w:iCs/>
        </w:rPr>
        <w:t>ří</w:t>
      </w:r>
      <w:r w:rsidRPr="00A12955">
        <w:rPr>
          <w:rFonts w:ascii="Invesco Interstate Light" w:hAnsi="Invesco Interstate Light"/>
          <w:i/>
          <w:iCs/>
        </w:rPr>
        <w:t xml:space="preserve">lohách. Neexistuje žádná záruka, že se tyto názory naplní. Zdroj: </w:t>
      </w:r>
      <w:proofErr w:type="spellStart"/>
      <w:r w:rsidRPr="00A12955">
        <w:rPr>
          <w:rFonts w:ascii="Invesco Interstate Light" w:hAnsi="Invesco Interstate Light"/>
          <w:i/>
          <w:iCs/>
        </w:rPr>
        <w:t>Invesco</w:t>
      </w:r>
      <w:proofErr w:type="spellEnd"/>
      <w:r w:rsidRPr="00A12955">
        <w:rPr>
          <w:rFonts w:ascii="Invesco Interstate Light" w:hAnsi="Invesco Interstate Light"/>
          <w:i/>
          <w:iCs/>
        </w:rPr>
        <w:t xml:space="preserve"> </w:t>
      </w:r>
      <w:proofErr w:type="spellStart"/>
      <w:r w:rsidRPr="00A12955">
        <w:rPr>
          <w:rFonts w:ascii="Invesco Interstate Light" w:hAnsi="Invesco Interstate Light"/>
          <w:i/>
          <w:iCs/>
        </w:rPr>
        <w:t>Global</w:t>
      </w:r>
      <w:proofErr w:type="spellEnd"/>
      <w:r w:rsidRPr="00A12955">
        <w:rPr>
          <w:rFonts w:ascii="Invesco Interstate Light" w:hAnsi="Invesco Interstate Light"/>
          <w:i/>
          <w:iCs/>
        </w:rPr>
        <w:t xml:space="preserve"> Market </w:t>
      </w:r>
      <w:proofErr w:type="spellStart"/>
      <w:r w:rsidRPr="00A12955">
        <w:rPr>
          <w:rFonts w:ascii="Invesco Interstate Light" w:hAnsi="Invesco Interstate Light"/>
          <w:i/>
          <w:iCs/>
        </w:rPr>
        <w:t>Strategy</w:t>
      </w:r>
      <w:proofErr w:type="spellEnd"/>
      <w:r w:rsidRPr="00A12955">
        <w:rPr>
          <w:rFonts w:ascii="Invesco Interstate Light" w:hAnsi="Invesco Interstate Light"/>
          <w:i/>
          <w:iCs/>
        </w:rPr>
        <w:t xml:space="preserve"> Office. </w:t>
      </w:r>
    </w:p>
    <w:p w14:paraId="7E80EEE2" w14:textId="59FD4061" w:rsidR="004401BA" w:rsidRPr="00032F05" w:rsidRDefault="00032F05" w:rsidP="00032F05">
      <w:pPr>
        <w:pStyle w:val="Normlnweb"/>
        <w:spacing w:line="276" w:lineRule="auto"/>
        <w:jc w:val="both"/>
        <w:rPr>
          <w:rFonts w:ascii="Invesco Interstate Light" w:eastAsia="Times New Roman" w:hAnsi="Invesco Interstate Light"/>
          <w:sz w:val="22"/>
          <w:szCs w:val="22"/>
          <w:lang w:eastAsia="de-DE"/>
        </w:rPr>
      </w:pPr>
      <w:r w:rsidRPr="00032F05">
        <w:rPr>
          <w:rFonts w:ascii="Invesco Interstate Light" w:eastAsia="Times New Roman" w:hAnsi="Invesco Interstate Light"/>
          <w:sz w:val="22"/>
          <w:szCs w:val="22"/>
          <w:lang w:eastAsia="de-DE"/>
        </w:rPr>
        <w:t>Hotovost zůstává v rámci naší alokace aktiv na úrovni 10 %. Sazby na hotovosti jsou na nejvyšších hodnotách od doby před globální finanční krizí a jejich výnosy mají malou volatilitu nebo korelaci s ostatními aktivy. Díky tomu je poměr rizika a výnosu podle našeho názoru lepší než u ostatních aktiv. Zlato je dalším aktivem pro diverzifikaci, ale myslíme si, že se mu daří tak dobře, že trvalý růst v této podobě je nepravděpodobný.</w:t>
      </w:r>
    </w:p>
    <w:p w14:paraId="79D2002B" w14:textId="55BCDB19" w:rsidR="00032F05" w:rsidRDefault="00032F05" w:rsidP="00032F05">
      <w:pPr>
        <w:pStyle w:val="Normlnweb"/>
        <w:spacing w:line="276" w:lineRule="auto"/>
        <w:jc w:val="both"/>
        <w:rPr>
          <w:rFonts w:ascii="Invesco Interstate Light" w:eastAsia="Times New Roman" w:hAnsi="Invesco Interstate Light"/>
          <w:sz w:val="22"/>
          <w:szCs w:val="22"/>
          <w:lang w:eastAsia="de-DE"/>
        </w:rPr>
      </w:pPr>
      <w:r w:rsidRPr="00032F05">
        <w:rPr>
          <w:rFonts w:ascii="Invesco Interstate Light" w:eastAsia="Times New Roman" w:hAnsi="Invesco Interstate Light"/>
          <w:sz w:val="22"/>
          <w:szCs w:val="22"/>
          <w:lang w:eastAsia="de-DE"/>
        </w:rPr>
        <w:t xml:space="preserve">Výnosy státních dluhopisů jsou mnohem vyšší než před 18 měsíci, ale v poslední době klesají, což podle našeho názoru snižuje výnosový potenciál, zejména proto, že očekáváme, že většina dlouhých výnosů bude za 12 měsíců o něco vyšší. Snižujeme alokaci z neutrální (25 %) na </w:t>
      </w:r>
      <w:proofErr w:type="spellStart"/>
      <w:r w:rsidRPr="00032F05">
        <w:rPr>
          <w:rFonts w:ascii="Invesco Interstate Light" w:eastAsia="Times New Roman" w:hAnsi="Invesco Interstate Light"/>
          <w:sz w:val="22"/>
          <w:szCs w:val="22"/>
          <w:lang w:eastAsia="de-DE"/>
        </w:rPr>
        <w:t>podváženou</w:t>
      </w:r>
      <w:proofErr w:type="spellEnd"/>
      <w:r w:rsidRPr="00032F05">
        <w:rPr>
          <w:rFonts w:ascii="Invesco Interstate Light" w:eastAsia="Times New Roman" w:hAnsi="Invesco Interstate Light"/>
          <w:sz w:val="22"/>
          <w:szCs w:val="22"/>
          <w:lang w:eastAsia="de-DE"/>
        </w:rPr>
        <w:t xml:space="preserve"> – </w:t>
      </w:r>
      <w:proofErr w:type="spellStart"/>
      <w:r w:rsidRPr="00032F05">
        <w:rPr>
          <w:rFonts w:ascii="Invesco Interstate Light" w:eastAsia="Times New Roman" w:hAnsi="Invesco Interstate Light"/>
          <w:sz w:val="22"/>
          <w:szCs w:val="22"/>
          <w:lang w:eastAsia="de-DE"/>
        </w:rPr>
        <w:t>Underweight</w:t>
      </w:r>
      <w:proofErr w:type="spellEnd"/>
      <w:r w:rsidRPr="00032F05">
        <w:rPr>
          <w:rFonts w:ascii="Invesco Interstate Light" w:eastAsia="Times New Roman" w:hAnsi="Invesco Interstate Light"/>
          <w:sz w:val="22"/>
          <w:szCs w:val="22"/>
          <w:lang w:eastAsia="de-DE"/>
        </w:rPr>
        <w:t xml:space="preserve"> (20 %) a dáváme přednost kombinaci hotovosti a úvěrů.</w:t>
      </w:r>
    </w:p>
    <w:p w14:paraId="24D5787D" w14:textId="77777777" w:rsidR="00032F05" w:rsidRPr="00032F05" w:rsidRDefault="00032F05" w:rsidP="00032F05">
      <w:pPr>
        <w:pStyle w:val="Normlnweb"/>
        <w:spacing w:line="276" w:lineRule="auto"/>
        <w:jc w:val="both"/>
        <w:rPr>
          <w:rFonts w:ascii="Invesco Interstate Light" w:eastAsia="Times New Roman" w:hAnsi="Invesco Interstate Light"/>
          <w:sz w:val="22"/>
          <w:szCs w:val="22"/>
          <w:lang w:eastAsia="de-DE"/>
        </w:rPr>
      </w:pPr>
      <w:r w:rsidRPr="00032F05">
        <w:rPr>
          <w:rFonts w:ascii="Invesco Interstate Light" w:eastAsia="Times New Roman" w:hAnsi="Invesco Interstate Light"/>
          <w:sz w:val="22"/>
          <w:szCs w:val="22"/>
          <w:lang w:eastAsia="de-DE"/>
        </w:rPr>
        <w:lastRenderedPageBreak/>
        <w:t xml:space="preserve">Snížení vládních dluhopisů umožňuje zvýšit alokaci nástrojů s investičním stupněm (na 18 % </w:t>
      </w:r>
      <w:proofErr w:type="spellStart"/>
      <w:r w:rsidRPr="00032F05">
        <w:rPr>
          <w:rFonts w:ascii="Invesco Interstate Light" w:eastAsia="Times New Roman" w:hAnsi="Invesco Interstate Light"/>
          <w:sz w:val="22"/>
          <w:szCs w:val="22"/>
          <w:lang w:eastAsia="de-DE"/>
        </w:rPr>
        <w:t>Overweight</w:t>
      </w:r>
      <w:proofErr w:type="spellEnd"/>
      <w:r w:rsidRPr="00032F05">
        <w:rPr>
          <w:rFonts w:ascii="Invesco Interstate Light" w:eastAsia="Times New Roman" w:hAnsi="Invesco Interstate Light"/>
          <w:sz w:val="22"/>
          <w:szCs w:val="22"/>
          <w:lang w:eastAsia="de-DE"/>
        </w:rPr>
        <w:t xml:space="preserve"> z 15 %). Ačkoli se stále jedná o relativně defenzivní aktivum, přináší podle našeho názoru větší riziko než státní dluhopisy a lepší kompromis mezi rizikem a výnosem.</w:t>
      </w:r>
    </w:p>
    <w:p w14:paraId="535525D2" w14:textId="4F1106DA" w:rsidR="00032F05" w:rsidRPr="00032F05" w:rsidRDefault="00032F05" w:rsidP="00032F05">
      <w:pPr>
        <w:pStyle w:val="Normlnweb"/>
        <w:spacing w:line="276" w:lineRule="auto"/>
        <w:jc w:val="both"/>
        <w:rPr>
          <w:rFonts w:ascii="Invesco Interstate Light" w:eastAsia="Times New Roman" w:hAnsi="Invesco Interstate Light"/>
          <w:sz w:val="22"/>
          <w:szCs w:val="22"/>
          <w:lang w:eastAsia="de-DE"/>
        </w:rPr>
      </w:pPr>
      <w:r w:rsidRPr="00032F05">
        <w:rPr>
          <w:rFonts w:ascii="Invesco Interstate Light" w:eastAsia="Times New Roman" w:hAnsi="Invesco Interstate Light"/>
          <w:sz w:val="22"/>
          <w:szCs w:val="22"/>
          <w:lang w:eastAsia="de-DE"/>
        </w:rPr>
        <w:t xml:space="preserve">Přidáváme alokace v USA, eurozóně a </w:t>
      </w:r>
      <w:r w:rsidR="004A7285">
        <w:rPr>
          <w:rFonts w:ascii="Invesco Interstate Light" w:eastAsia="Times New Roman" w:hAnsi="Invesco Interstate Light"/>
          <w:sz w:val="22"/>
          <w:szCs w:val="22"/>
          <w:lang w:eastAsia="de-DE"/>
        </w:rPr>
        <w:t>v rozvíjejících se trzích</w:t>
      </w:r>
      <w:r w:rsidRPr="00032F05">
        <w:rPr>
          <w:rFonts w:ascii="Invesco Interstate Light" w:eastAsia="Times New Roman" w:hAnsi="Invesco Interstate Light"/>
          <w:sz w:val="22"/>
          <w:szCs w:val="22"/>
          <w:lang w:eastAsia="de-DE"/>
        </w:rPr>
        <w:t xml:space="preserve">, které jsou všechny v kategorii </w:t>
      </w:r>
      <w:proofErr w:type="spellStart"/>
      <w:r w:rsidRPr="00032F05">
        <w:rPr>
          <w:rFonts w:ascii="Invesco Interstate Light" w:eastAsia="Times New Roman" w:hAnsi="Invesco Interstate Light"/>
          <w:sz w:val="22"/>
          <w:szCs w:val="22"/>
          <w:lang w:eastAsia="de-DE"/>
        </w:rPr>
        <w:t>Overweight</w:t>
      </w:r>
      <w:proofErr w:type="spellEnd"/>
      <w:r w:rsidRPr="00032F05">
        <w:rPr>
          <w:rFonts w:ascii="Invesco Interstate Light" w:eastAsia="Times New Roman" w:hAnsi="Invesco Interstate Light"/>
          <w:sz w:val="22"/>
          <w:szCs w:val="22"/>
          <w:lang w:eastAsia="de-DE"/>
        </w:rPr>
        <w:t xml:space="preserve"> (</w:t>
      </w:r>
      <w:r w:rsidR="004A7285">
        <w:rPr>
          <w:rFonts w:ascii="Invesco Interstate Light" w:eastAsia="Times New Roman" w:hAnsi="Invesco Interstate Light"/>
          <w:sz w:val="22"/>
          <w:szCs w:val="22"/>
          <w:lang w:eastAsia="de-DE"/>
        </w:rPr>
        <w:t>rozvíjející se trhy</w:t>
      </w:r>
      <w:r w:rsidRPr="00032F05">
        <w:rPr>
          <w:rFonts w:ascii="Invesco Interstate Light" w:eastAsia="Times New Roman" w:hAnsi="Invesco Interstate Light"/>
          <w:sz w:val="22"/>
          <w:szCs w:val="22"/>
          <w:lang w:eastAsia="de-DE"/>
        </w:rPr>
        <w:t xml:space="preserve"> j</w:t>
      </w:r>
      <w:r w:rsidR="004A7285">
        <w:rPr>
          <w:rFonts w:ascii="Invesco Interstate Light" w:eastAsia="Times New Roman" w:hAnsi="Invesco Interstate Light"/>
          <w:sz w:val="22"/>
          <w:szCs w:val="22"/>
          <w:lang w:eastAsia="de-DE"/>
        </w:rPr>
        <w:t>sou</w:t>
      </w:r>
      <w:r w:rsidRPr="00032F05">
        <w:rPr>
          <w:rFonts w:ascii="Invesco Interstate Light" w:eastAsia="Times New Roman" w:hAnsi="Invesco Interstate Light"/>
          <w:sz w:val="22"/>
          <w:szCs w:val="22"/>
          <w:lang w:eastAsia="de-DE"/>
        </w:rPr>
        <w:t xml:space="preserve"> preferován</w:t>
      </w:r>
      <w:r w:rsidR="004A7285">
        <w:rPr>
          <w:rFonts w:ascii="Invesco Interstate Light" w:eastAsia="Times New Roman" w:hAnsi="Invesco Interstate Light"/>
          <w:sz w:val="22"/>
          <w:szCs w:val="22"/>
          <w:lang w:eastAsia="de-DE"/>
        </w:rPr>
        <w:t>y</w:t>
      </w:r>
      <w:r w:rsidRPr="00032F05">
        <w:rPr>
          <w:rFonts w:ascii="Invesco Interstate Light" w:eastAsia="Times New Roman" w:hAnsi="Invesco Interstate Light"/>
          <w:sz w:val="22"/>
          <w:szCs w:val="22"/>
          <w:lang w:eastAsia="de-DE"/>
        </w:rPr>
        <w:t>).</w:t>
      </w:r>
    </w:p>
    <w:p w14:paraId="3F44ADCA" w14:textId="77777777" w:rsidR="00032F05" w:rsidRPr="00032F05" w:rsidRDefault="00032F05" w:rsidP="00032F05">
      <w:pPr>
        <w:pStyle w:val="Normlnweb"/>
        <w:spacing w:line="276" w:lineRule="auto"/>
        <w:jc w:val="both"/>
        <w:rPr>
          <w:rFonts w:ascii="Invesco Interstate Light" w:eastAsia="Times New Roman" w:hAnsi="Invesco Interstate Light"/>
          <w:sz w:val="22"/>
          <w:szCs w:val="22"/>
          <w:lang w:eastAsia="de-DE"/>
        </w:rPr>
      </w:pPr>
      <w:r w:rsidRPr="00032F05">
        <w:rPr>
          <w:rFonts w:ascii="Invesco Interstate Light" w:eastAsia="Times New Roman" w:hAnsi="Invesco Interstate Light"/>
          <w:sz w:val="22"/>
          <w:szCs w:val="22"/>
          <w:lang w:eastAsia="de-DE"/>
        </w:rPr>
        <w:t xml:space="preserve">Zatímco dluhopisy s investičním stupněm nejsou nijak zvlášť dobrodružné, zvýšení naší alokace do nemovitostí přináší větší riziko. Ve skutečnosti jsou rizika tak zřejmá, že výnosy REIT jsou nyní poměrně štědré, což je lákavé (očekáváme, že výnosy budou klesat). Dividendy REIT začaly opět růst, ale v příštích 12 měsících očekáváme jen malý růst. Z neutrálních 8 % přecházíme na </w:t>
      </w:r>
      <w:proofErr w:type="spellStart"/>
      <w:r w:rsidRPr="00032F05">
        <w:rPr>
          <w:rFonts w:ascii="Invesco Interstate Light" w:eastAsia="Times New Roman" w:hAnsi="Invesco Interstate Light"/>
          <w:sz w:val="22"/>
          <w:szCs w:val="22"/>
          <w:lang w:eastAsia="de-DE"/>
        </w:rPr>
        <w:t>nadvážených</w:t>
      </w:r>
      <w:proofErr w:type="spellEnd"/>
      <w:r w:rsidRPr="00032F05">
        <w:rPr>
          <w:rFonts w:ascii="Invesco Interstate Light" w:eastAsia="Times New Roman" w:hAnsi="Invesco Interstate Light"/>
          <w:sz w:val="22"/>
          <w:szCs w:val="22"/>
          <w:lang w:eastAsia="de-DE"/>
        </w:rPr>
        <w:t xml:space="preserve"> 10 procent a přidáváme alokace v USA a rozvíjejících se trhů (obě </w:t>
      </w:r>
      <w:proofErr w:type="spellStart"/>
      <w:r w:rsidRPr="00032F05">
        <w:rPr>
          <w:rFonts w:ascii="Invesco Interstate Light" w:eastAsia="Times New Roman" w:hAnsi="Invesco Interstate Light"/>
          <w:sz w:val="22"/>
          <w:szCs w:val="22"/>
          <w:lang w:eastAsia="de-DE"/>
        </w:rPr>
        <w:t>nadvážené</w:t>
      </w:r>
      <w:proofErr w:type="spellEnd"/>
      <w:r w:rsidRPr="00032F05">
        <w:rPr>
          <w:rFonts w:ascii="Invesco Interstate Light" w:eastAsia="Times New Roman" w:hAnsi="Invesco Interstate Light"/>
          <w:sz w:val="22"/>
          <w:szCs w:val="22"/>
          <w:lang w:eastAsia="de-DE"/>
        </w:rPr>
        <w:t>). Opět očekáváme nejvyšší 12měsíční výnosy v oblasti rozvíjejících se trhů.</w:t>
      </w:r>
    </w:p>
    <w:p w14:paraId="3781622E" w14:textId="14122C8E" w:rsidR="00032F05" w:rsidRPr="00032F05" w:rsidRDefault="00032F05" w:rsidP="00032F05">
      <w:pPr>
        <w:pStyle w:val="Normlnweb"/>
        <w:spacing w:line="276" w:lineRule="auto"/>
        <w:jc w:val="both"/>
        <w:rPr>
          <w:rFonts w:ascii="Invesco Interstate Light" w:eastAsia="Times New Roman" w:hAnsi="Invesco Interstate Light"/>
          <w:sz w:val="22"/>
          <w:szCs w:val="22"/>
          <w:lang w:eastAsia="de-DE"/>
        </w:rPr>
      </w:pPr>
      <w:r w:rsidRPr="00032F05">
        <w:rPr>
          <w:rFonts w:ascii="Invesco Interstate Light" w:eastAsia="Times New Roman" w:hAnsi="Invesco Interstate Light"/>
          <w:sz w:val="22"/>
          <w:szCs w:val="22"/>
          <w:lang w:eastAsia="de-DE"/>
        </w:rPr>
        <w:t xml:space="preserve">Domníváme se, že akcie budou v krátkodobém horizontu znevýhodněny oslabujícími zisky a zdá se, že ani klesající výnosy dluhopisů jim nepomohou (korelace se opět mění). Naše odhady naznačují, že mezi rizikovými aktivy (jako jsou HY a nemovitosti) existují lepší alternativy. Zachováváme alokaci </w:t>
      </w:r>
      <w:proofErr w:type="spellStart"/>
      <w:r w:rsidRPr="00032F05">
        <w:rPr>
          <w:rFonts w:ascii="Invesco Interstate Light" w:eastAsia="Times New Roman" w:hAnsi="Invesco Interstate Light"/>
          <w:sz w:val="22"/>
          <w:szCs w:val="22"/>
          <w:lang w:eastAsia="de-DE"/>
        </w:rPr>
        <w:t>Underweight</w:t>
      </w:r>
      <w:proofErr w:type="spellEnd"/>
      <w:r w:rsidRPr="00032F05">
        <w:rPr>
          <w:rFonts w:ascii="Invesco Interstate Light" w:eastAsia="Times New Roman" w:hAnsi="Invesco Interstate Light"/>
          <w:sz w:val="22"/>
          <w:szCs w:val="22"/>
          <w:lang w:eastAsia="de-DE"/>
        </w:rPr>
        <w:t xml:space="preserve"> </w:t>
      </w:r>
      <w:r w:rsidR="004A7285">
        <w:rPr>
          <w:rFonts w:ascii="Invesco Interstate Light" w:eastAsia="Times New Roman" w:hAnsi="Invesco Interstate Light"/>
          <w:sz w:val="22"/>
          <w:szCs w:val="22"/>
          <w:lang w:eastAsia="de-DE"/>
        </w:rPr>
        <w:t xml:space="preserve">  </w:t>
      </w:r>
      <w:r w:rsidRPr="00032F05">
        <w:rPr>
          <w:rFonts w:ascii="Invesco Interstate Light" w:eastAsia="Times New Roman" w:hAnsi="Invesco Interstate Light"/>
          <w:sz w:val="22"/>
          <w:szCs w:val="22"/>
          <w:lang w:eastAsia="de-DE"/>
        </w:rPr>
        <w:t>34 % (oproti neutrální 45 %). Nadále upřednostňujeme akcie rozvíjejících se trhů, zejména čínské (které podle nás mají dobrou hodnotu a které by mohly těžit z lepší ekonomické dynamiky).</w:t>
      </w:r>
    </w:p>
    <w:p w14:paraId="0A22633A" w14:textId="77777777" w:rsidR="00032F05" w:rsidRPr="00032F05" w:rsidRDefault="00032F05" w:rsidP="00032F05">
      <w:pPr>
        <w:pStyle w:val="Normlnweb"/>
        <w:spacing w:line="276" w:lineRule="auto"/>
        <w:jc w:val="both"/>
        <w:rPr>
          <w:rFonts w:ascii="Invesco Interstate Light" w:eastAsia="Times New Roman" w:hAnsi="Invesco Interstate Light"/>
          <w:sz w:val="22"/>
          <w:szCs w:val="22"/>
          <w:lang w:eastAsia="de-DE"/>
        </w:rPr>
      </w:pPr>
      <w:r w:rsidRPr="00032F05">
        <w:rPr>
          <w:rFonts w:ascii="Invesco Interstate Light" w:eastAsia="Times New Roman" w:hAnsi="Invesco Interstate Light"/>
          <w:sz w:val="22"/>
          <w:szCs w:val="22"/>
          <w:lang w:eastAsia="de-DE"/>
        </w:rPr>
        <w:t xml:space="preserve">U akcií s vysokým výnosem neprovádíme žádnou změnu a zůstáváme v kategorii </w:t>
      </w:r>
      <w:proofErr w:type="spellStart"/>
      <w:r w:rsidRPr="00032F05">
        <w:rPr>
          <w:rFonts w:ascii="Invesco Interstate Light" w:eastAsia="Times New Roman" w:hAnsi="Invesco Interstate Light"/>
          <w:sz w:val="22"/>
          <w:szCs w:val="22"/>
          <w:lang w:eastAsia="de-DE"/>
        </w:rPr>
        <w:t>Overweight</w:t>
      </w:r>
      <w:proofErr w:type="spellEnd"/>
      <w:r w:rsidRPr="00032F05">
        <w:rPr>
          <w:rFonts w:ascii="Invesco Interstate Light" w:eastAsia="Times New Roman" w:hAnsi="Invesco Interstate Light"/>
          <w:sz w:val="22"/>
          <w:szCs w:val="22"/>
          <w:lang w:eastAsia="de-DE"/>
        </w:rPr>
        <w:t>. Komodity v poslední době generují ztráty a očekáváme, že oslabující ekonomiky a normalizující se evropské trhy se zemním plynem udrží tlak na pokles cen. Zachováváme nulovou alokaci do této třídy aktiv.</w:t>
      </w:r>
    </w:p>
    <w:p w14:paraId="5CB19CB3" w14:textId="19CC36BA" w:rsidR="00032F05" w:rsidRPr="00032F05" w:rsidRDefault="00032F05" w:rsidP="00032F05">
      <w:pPr>
        <w:spacing w:line="276" w:lineRule="auto"/>
        <w:jc w:val="both"/>
        <w:rPr>
          <w:rFonts w:ascii="Invesco Interstate Light" w:hAnsi="Invesco Interstate Light"/>
          <w:sz w:val="22"/>
          <w:szCs w:val="22"/>
        </w:rPr>
      </w:pPr>
      <w:r w:rsidRPr="00032F05">
        <w:rPr>
          <w:rFonts w:ascii="Invesco Interstate Light" w:hAnsi="Invesco Interstate Light"/>
          <w:sz w:val="22"/>
          <w:szCs w:val="22"/>
        </w:rPr>
        <w:t xml:space="preserve">Z regionálního hlediska nadále preferujeme aktiva rozvíjejících se trhů. Je to částečně proto, že je považujeme za relativně levná, což podle našeho názoru zvyšuje dlouhodobý potenciál, ale také proto, abychom vyvážili </w:t>
      </w:r>
      <w:proofErr w:type="spellStart"/>
      <w:r w:rsidRPr="00032F05">
        <w:rPr>
          <w:rFonts w:ascii="Invesco Interstate Light" w:hAnsi="Invesco Interstate Light"/>
          <w:sz w:val="22"/>
          <w:szCs w:val="22"/>
        </w:rPr>
        <w:t>defenzivnost</w:t>
      </w:r>
      <w:proofErr w:type="spellEnd"/>
      <w:r w:rsidRPr="00032F05">
        <w:rPr>
          <w:rFonts w:ascii="Invesco Interstate Light" w:hAnsi="Invesco Interstate Light"/>
          <w:sz w:val="22"/>
          <w:szCs w:val="22"/>
        </w:rPr>
        <w:t xml:space="preserve"> některých našich dalších alokací. První krok k tomu, abychom se pokusili těžit ze sensitivního rozdílu v ocenění dolaru a jenu, děláme částečným zajištěním naší expozice v dolarech do jenu.</w:t>
      </w:r>
    </w:p>
    <w:p w14:paraId="51059CB0" w14:textId="77777777" w:rsidR="001850F5" w:rsidRDefault="001850F5" w:rsidP="59A5D358">
      <w:pPr>
        <w:autoSpaceDE w:val="0"/>
        <w:autoSpaceDN w:val="0"/>
        <w:adjustRightInd w:val="0"/>
        <w:spacing w:line="240" w:lineRule="auto"/>
        <w:rPr>
          <w:rFonts w:ascii="Invesco Interstate Light" w:hAnsi="Invesco Interstate Light"/>
          <w:b/>
          <w:bCs/>
          <w:sz w:val="22"/>
          <w:szCs w:val="22"/>
        </w:rPr>
      </w:pPr>
    </w:p>
    <w:p w14:paraId="5A258312" w14:textId="77777777" w:rsidR="00B15E12" w:rsidRDefault="00B15E12" w:rsidP="59A5D358">
      <w:pPr>
        <w:autoSpaceDE w:val="0"/>
        <w:autoSpaceDN w:val="0"/>
        <w:adjustRightInd w:val="0"/>
        <w:spacing w:line="240" w:lineRule="auto"/>
        <w:rPr>
          <w:rFonts w:ascii="Invesco Interstate Light" w:hAnsi="Invesco Interstate Light"/>
          <w:b/>
          <w:bCs/>
          <w:sz w:val="22"/>
          <w:szCs w:val="22"/>
        </w:rPr>
      </w:pPr>
    </w:p>
    <w:p w14:paraId="7C334F37" w14:textId="2ACEA8FC" w:rsidR="00497B07" w:rsidRPr="004E3E12"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59A5D358">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59A5D358">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CEFA5D0" w14:textId="146CAA2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13D85258" w14:textId="77777777" w:rsidR="005E7425" w:rsidRDefault="005E7425" w:rsidP="59A5D358">
      <w:pPr>
        <w:autoSpaceDE w:val="0"/>
        <w:autoSpaceDN w:val="0"/>
        <w:adjustRightInd w:val="0"/>
        <w:spacing w:line="240" w:lineRule="auto"/>
        <w:rPr>
          <w:rFonts w:ascii="Invesco Interstate Light" w:hAnsi="Invesco Interstate Light"/>
          <w:b/>
          <w:bCs/>
          <w:sz w:val="22"/>
          <w:szCs w:val="22"/>
        </w:rPr>
      </w:pPr>
    </w:p>
    <w:p w14:paraId="460C3862" w14:textId="77777777" w:rsidR="005E7425" w:rsidRDefault="005E7425" w:rsidP="59A5D358">
      <w:pPr>
        <w:autoSpaceDE w:val="0"/>
        <w:autoSpaceDN w:val="0"/>
        <w:adjustRightInd w:val="0"/>
        <w:spacing w:line="240" w:lineRule="auto"/>
        <w:rPr>
          <w:rFonts w:ascii="Invesco Interstate Light" w:hAnsi="Invesco Interstate Light"/>
          <w:b/>
          <w:bCs/>
          <w:sz w:val="22"/>
          <w:szCs w:val="22"/>
        </w:rPr>
      </w:pPr>
    </w:p>
    <w:p w14:paraId="7BF77D56" w14:textId="6CDBC472" w:rsidR="00497B07" w:rsidRPr="00654055" w:rsidRDefault="4E481D2D" w:rsidP="59A5D358">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lastRenderedPageBreak/>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59A5D358">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58410BAD" w14:textId="4A07EF32"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27649EBB" w14:textId="77777777" w:rsidR="00654055" w:rsidRPr="00654055" w:rsidRDefault="00654055" w:rsidP="59A5D358">
      <w:pPr>
        <w:autoSpaceDE w:val="0"/>
        <w:autoSpaceDN w:val="0"/>
        <w:adjustRightInd w:val="0"/>
        <w:spacing w:line="240" w:lineRule="auto"/>
        <w:rPr>
          <w:rFonts w:ascii="Invesco Interstate Light" w:hAnsi="Invesco Interstate Light"/>
          <w:sz w:val="22"/>
          <w:szCs w:val="22"/>
        </w:rPr>
      </w:pP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AC00E0C" w14:textId="77777777" w:rsidR="002355DD" w:rsidRPr="00873CBF" w:rsidRDefault="002355DD" w:rsidP="002355DD">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64E7D96B" w14:textId="77777777" w:rsidR="002355DD" w:rsidRPr="00873CBF" w:rsidRDefault="002355DD" w:rsidP="002355DD">
      <w:pPr>
        <w:spacing w:line="360" w:lineRule="auto"/>
        <w:rPr>
          <w:rFonts w:ascii="Invesco Interstate Light" w:hAnsi="Invesco Interstate Light"/>
          <w:b/>
          <w:sz w:val="22"/>
          <w:szCs w:val="22"/>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22D43DA7" w14:textId="77777777" w:rsidR="002355DD"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2" w:history="1">
        <w:r w:rsidRPr="00873CBF">
          <w:rPr>
            <w:rFonts w:ascii="Invesco Interstate Light" w:hAnsi="Invesco Interstate Light"/>
            <w:sz w:val="22"/>
            <w:szCs w:val="22"/>
          </w:rPr>
          <w:t>eliska.krohova@crestcom.cz</w:t>
        </w:r>
      </w:hyperlink>
    </w:p>
    <w:p w14:paraId="522BD275" w14:textId="77777777" w:rsidR="003049E9" w:rsidRPr="00873CBF" w:rsidRDefault="003049E9" w:rsidP="002355DD">
      <w:pPr>
        <w:spacing w:line="240" w:lineRule="exact"/>
        <w:rPr>
          <w:rFonts w:ascii="Invesco Interstate Light" w:hAnsi="Invesco Interstate Light"/>
          <w:sz w:val="22"/>
          <w:szCs w:val="22"/>
        </w:rPr>
      </w:pPr>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3"/>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DB70" w14:textId="77777777" w:rsidR="002072A9" w:rsidRDefault="002072A9">
      <w:r>
        <w:separator/>
      </w:r>
    </w:p>
  </w:endnote>
  <w:endnote w:type="continuationSeparator" w:id="0">
    <w:p w14:paraId="7E46FDEC" w14:textId="77777777" w:rsidR="002072A9" w:rsidRDefault="002072A9">
      <w:r>
        <w:continuationSeparator/>
      </w:r>
    </w:p>
  </w:endnote>
  <w:endnote w:type="continuationNotice" w:id="1">
    <w:p w14:paraId="7B77F289" w14:textId="77777777" w:rsidR="002072A9" w:rsidRDefault="002072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F8B6" w14:textId="77777777" w:rsidR="002072A9" w:rsidRDefault="002072A9">
      <w:r>
        <w:separator/>
      </w:r>
    </w:p>
  </w:footnote>
  <w:footnote w:type="continuationSeparator" w:id="0">
    <w:p w14:paraId="04359F9D" w14:textId="77777777" w:rsidR="002072A9" w:rsidRDefault="002072A9">
      <w:r>
        <w:continuationSeparator/>
      </w:r>
    </w:p>
  </w:footnote>
  <w:footnote w:type="continuationNotice" w:id="1">
    <w:p w14:paraId="5E81CF54" w14:textId="77777777" w:rsidR="002072A9" w:rsidRDefault="002072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0D140CEC" w:rsidR="00702C33" w:rsidRPr="000730A6" w:rsidRDefault="00C87546" w:rsidP="00EB6787">
    <w:pPr>
      <w:pStyle w:val="Zhlav"/>
      <w:pBdr>
        <w:top w:val="single" w:sz="4" w:space="3" w:color="auto"/>
      </w:pBdr>
      <w:spacing w:line="298" w:lineRule="exact"/>
      <w:ind w:left="3402"/>
      <w:jc w:val="right"/>
      <w:rPr>
        <w:color w:val="000000"/>
        <w:sz w:val="23"/>
        <w:szCs w:val="23"/>
      </w:rPr>
    </w:pPr>
    <w:r>
      <w:rPr>
        <w:color w:val="000000"/>
        <w:sz w:val="23"/>
        <w:szCs w:val="23"/>
      </w:rPr>
      <w:t>4</w:t>
    </w:r>
    <w:r w:rsidR="0093103A">
      <w:rPr>
        <w:color w:val="000000"/>
        <w:sz w:val="23"/>
        <w:szCs w:val="23"/>
      </w:rPr>
      <w:t>.</w:t>
    </w:r>
    <w:r>
      <w:rPr>
        <w:color w:val="000000"/>
        <w:sz w:val="23"/>
        <w:szCs w:val="23"/>
      </w:rPr>
      <w:t xml:space="preserve"> července</w:t>
    </w:r>
    <w:r w:rsidR="0093103A">
      <w:rPr>
        <w:color w:val="000000"/>
        <w:sz w:val="23"/>
        <w:szCs w:val="23"/>
      </w:rPr>
      <w:t xml:space="preserve"> 202</w:t>
    </w:r>
    <w:r>
      <w:rPr>
        <w:color w:val="000000"/>
        <w:sz w:val="23"/>
        <w:szCs w:val="23"/>
      </w:rPr>
      <w:t>3</w:t>
    </w: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0C914F4B"/>
    <w:multiLevelType w:val="hybridMultilevel"/>
    <w:tmpl w:val="4FA4C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DF745F"/>
    <w:multiLevelType w:val="hybridMultilevel"/>
    <w:tmpl w:val="17CADF2A"/>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97674B"/>
    <w:multiLevelType w:val="hybridMultilevel"/>
    <w:tmpl w:val="074C6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AF74CF"/>
    <w:multiLevelType w:val="hybridMultilevel"/>
    <w:tmpl w:val="D818D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D3068D"/>
    <w:multiLevelType w:val="hybridMultilevel"/>
    <w:tmpl w:val="A5228DA0"/>
    <w:lvl w:ilvl="0" w:tplc="19C63BE8">
      <w:start w:val="1"/>
      <w:numFmt w:val="decimal"/>
      <w:lvlText w:val="%1."/>
      <w:lvlJc w:val="left"/>
      <w:pPr>
        <w:ind w:left="720" w:hanging="360"/>
      </w:pPr>
      <w:rPr>
        <w:rFonts w:ascii="Arial" w:hAnsi="Arial" w:cs="Arial" w:hint="default"/>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A46D70"/>
    <w:multiLevelType w:val="multilevel"/>
    <w:tmpl w:val="11820CCE"/>
    <w:numStyleLink w:val="FormatvorlageAufgezhlt"/>
  </w:abstractNum>
  <w:abstractNum w:abstractNumId="12"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630B23"/>
    <w:multiLevelType w:val="multilevel"/>
    <w:tmpl w:val="11820CCE"/>
    <w:numStyleLink w:val="FormatvorlageAufgezhlt"/>
  </w:abstractNum>
  <w:abstractNum w:abstractNumId="15" w15:restartNumberingAfterBreak="0">
    <w:nsid w:val="57FB6EB0"/>
    <w:multiLevelType w:val="hybridMultilevel"/>
    <w:tmpl w:val="33F83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D403C3"/>
    <w:multiLevelType w:val="multilevel"/>
    <w:tmpl w:val="11820CCE"/>
    <w:numStyleLink w:val="FormatvorlageAufgezhlt"/>
  </w:abstractNum>
  <w:abstractNum w:abstractNumId="20" w15:restartNumberingAfterBreak="0">
    <w:nsid w:val="6C6C4721"/>
    <w:multiLevelType w:val="multilevel"/>
    <w:tmpl w:val="11820CCE"/>
    <w:numStyleLink w:val="FormatvorlageAufgezhlt"/>
  </w:abstractNum>
  <w:abstractNum w:abstractNumId="21" w15:restartNumberingAfterBreak="0">
    <w:nsid w:val="74E5380B"/>
    <w:multiLevelType w:val="multilevel"/>
    <w:tmpl w:val="11820CCE"/>
    <w:numStyleLink w:val="FormatvorlageAufgezhlt"/>
  </w:abstractNum>
  <w:abstractNum w:abstractNumId="2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727549">
    <w:abstractNumId w:val="0"/>
  </w:num>
  <w:num w:numId="2" w16cid:durableId="1756514422">
    <w:abstractNumId w:val="12"/>
  </w:num>
  <w:num w:numId="3" w16cid:durableId="1018385507">
    <w:abstractNumId w:val="17"/>
  </w:num>
  <w:num w:numId="4" w16cid:durableId="1827627993">
    <w:abstractNumId w:val="13"/>
  </w:num>
  <w:num w:numId="5" w16cid:durableId="1045980682">
    <w:abstractNumId w:val="14"/>
  </w:num>
  <w:num w:numId="6" w16cid:durableId="233898162">
    <w:abstractNumId w:val="19"/>
  </w:num>
  <w:num w:numId="7" w16cid:durableId="354037280">
    <w:abstractNumId w:val="20"/>
  </w:num>
  <w:num w:numId="8" w16cid:durableId="1069617806">
    <w:abstractNumId w:val="1"/>
  </w:num>
  <w:num w:numId="9" w16cid:durableId="846021257">
    <w:abstractNumId w:val="21"/>
  </w:num>
  <w:num w:numId="10" w16cid:durableId="1441952391">
    <w:abstractNumId w:val="11"/>
  </w:num>
  <w:num w:numId="11" w16cid:durableId="201014381">
    <w:abstractNumId w:val="3"/>
  </w:num>
  <w:num w:numId="12" w16cid:durableId="11033768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319395">
    <w:abstractNumId w:val="22"/>
  </w:num>
  <w:num w:numId="14" w16cid:durableId="1040126726">
    <w:abstractNumId w:val="23"/>
  </w:num>
  <w:num w:numId="15" w16cid:durableId="638264912">
    <w:abstractNumId w:val="16"/>
  </w:num>
  <w:num w:numId="16" w16cid:durableId="2042582474">
    <w:abstractNumId w:val="6"/>
  </w:num>
  <w:num w:numId="17" w16cid:durableId="2024210764">
    <w:abstractNumId w:val="2"/>
  </w:num>
  <w:num w:numId="18" w16cid:durableId="1690450397">
    <w:abstractNumId w:val="18"/>
  </w:num>
  <w:num w:numId="19" w16cid:durableId="930966678">
    <w:abstractNumId w:val="4"/>
  </w:num>
  <w:num w:numId="20" w16cid:durableId="60954917">
    <w:abstractNumId w:val="15"/>
  </w:num>
  <w:num w:numId="21" w16cid:durableId="1633557468">
    <w:abstractNumId w:val="10"/>
  </w:num>
  <w:num w:numId="22" w16cid:durableId="286203332">
    <w:abstractNumId w:val="9"/>
  </w:num>
  <w:num w:numId="23" w16cid:durableId="859584248">
    <w:abstractNumId w:val="5"/>
  </w:num>
  <w:num w:numId="24" w16cid:durableId="18557265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3423"/>
    <w:rsid w:val="000143D3"/>
    <w:rsid w:val="00014ED9"/>
    <w:rsid w:val="00015054"/>
    <w:rsid w:val="00015733"/>
    <w:rsid w:val="00015964"/>
    <w:rsid w:val="00016169"/>
    <w:rsid w:val="0001671D"/>
    <w:rsid w:val="00016A1B"/>
    <w:rsid w:val="00016E91"/>
    <w:rsid w:val="00017017"/>
    <w:rsid w:val="000174DD"/>
    <w:rsid w:val="000175F7"/>
    <w:rsid w:val="00020C27"/>
    <w:rsid w:val="000211E2"/>
    <w:rsid w:val="000217CA"/>
    <w:rsid w:val="00021BE9"/>
    <w:rsid w:val="00022F46"/>
    <w:rsid w:val="0002342C"/>
    <w:rsid w:val="000235C8"/>
    <w:rsid w:val="0002385B"/>
    <w:rsid w:val="0002434D"/>
    <w:rsid w:val="00024669"/>
    <w:rsid w:val="00025180"/>
    <w:rsid w:val="000251FB"/>
    <w:rsid w:val="000253FB"/>
    <w:rsid w:val="000259D0"/>
    <w:rsid w:val="00025A33"/>
    <w:rsid w:val="00025C6A"/>
    <w:rsid w:val="000265C4"/>
    <w:rsid w:val="00026CDE"/>
    <w:rsid w:val="00030ECD"/>
    <w:rsid w:val="0003116B"/>
    <w:rsid w:val="000314AD"/>
    <w:rsid w:val="00031A9F"/>
    <w:rsid w:val="00031D44"/>
    <w:rsid w:val="00032F05"/>
    <w:rsid w:val="00032FE3"/>
    <w:rsid w:val="000346DD"/>
    <w:rsid w:val="00034746"/>
    <w:rsid w:val="00034AAE"/>
    <w:rsid w:val="00035A16"/>
    <w:rsid w:val="00035A61"/>
    <w:rsid w:val="000365C1"/>
    <w:rsid w:val="00036BF1"/>
    <w:rsid w:val="000371E0"/>
    <w:rsid w:val="00040376"/>
    <w:rsid w:val="00040B70"/>
    <w:rsid w:val="0004254E"/>
    <w:rsid w:val="00042D5A"/>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41B"/>
    <w:rsid w:val="0008579B"/>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E1E"/>
    <w:rsid w:val="000C1DF8"/>
    <w:rsid w:val="000C2CEE"/>
    <w:rsid w:val="000C2E2C"/>
    <w:rsid w:val="000C2FB4"/>
    <w:rsid w:val="000C412E"/>
    <w:rsid w:val="000C45E7"/>
    <w:rsid w:val="000C46FD"/>
    <w:rsid w:val="000C4C22"/>
    <w:rsid w:val="000C4DC9"/>
    <w:rsid w:val="000C4FE6"/>
    <w:rsid w:val="000C5F20"/>
    <w:rsid w:val="000C6CF3"/>
    <w:rsid w:val="000C7217"/>
    <w:rsid w:val="000C764B"/>
    <w:rsid w:val="000D00A8"/>
    <w:rsid w:val="000D0F52"/>
    <w:rsid w:val="000D2432"/>
    <w:rsid w:val="000D31AB"/>
    <w:rsid w:val="000D442D"/>
    <w:rsid w:val="000D4614"/>
    <w:rsid w:val="000D4623"/>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6492"/>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0F5"/>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A45"/>
    <w:rsid w:val="001F1B3D"/>
    <w:rsid w:val="001F270E"/>
    <w:rsid w:val="001F3075"/>
    <w:rsid w:val="001F33E0"/>
    <w:rsid w:val="001F33EA"/>
    <w:rsid w:val="001F3A5E"/>
    <w:rsid w:val="001F3CDA"/>
    <w:rsid w:val="001F40E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2A9"/>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07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0F35"/>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9E9"/>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A37"/>
    <w:rsid w:val="00406EB1"/>
    <w:rsid w:val="00410B5B"/>
    <w:rsid w:val="00411B58"/>
    <w:rsid w:val="00412187"/>
    <w:rsid w:val="00412400"/>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29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1BA"/>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4D90"/>
    <w:rsid w:val="00455C75"/>
    <w:rsid w:val="0046020E"/>
    <w:rsid w:val="0046076E"/>
    <w:rsid w:val="00460A9E"/>
    <w:rsid w:val="00461115"/>
    <w:rsid w:val="00461AAC"/>
    <w:rsid w:val="004622EF"/>
    <w:rsid w:val="00462335"/>
    <w:rsid w:val="004625CF"/>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285"/>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D7BF5"/>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31B9"/>
    <w:rsid w:val="0051394F"/>
    <w:rsid w:val="00513F36"/>
    <w:rsid w:val="00514A3E"/>
    <w:rsid w:val="00514C4E"/>
    <w:rsid w:val="00514EF9"/>
    <w:rsid w:val="005150EA"/>
    <w:rsid w:val="005152A6"/>
    <w:rsid w:val="00521200"/>
    <w:rsid w:val="00521BDC"/>
    <w:rsid w:val="005228E5"/>
    <w:rsid w:val="005242D3"/>
    <w:rsid w:val="00524323"/>
    <w:rsid w:val="00525157"/>
    <w:rsid w:val="00525E6A"/>
    <w:rsid w:val="00526496"/>
    <w:rsid w:val="00526CBB"/>
    <w:rsid w:val="00526F2C"/>
    <w:rsid w:val="0052735B"/>
    <w:rsid w:val="0053070E"/>
    <w:rsid w:val="0053076C"/>
    <w:rsid w:val="005307B4"/>
    <w:rsid w:val="005317E5"/>
    <w:rsid w:val="0053211A"/>
    <w:rsid w:val="00532414"/>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4506"/>
    <w:rsid w:val="005A61C8"/>
    <w:rsid w:val="005A66E6"/>
    <w:rsid w:val="005A681A"/>
    <w:rsid w:val="005A7016"/>
    <w:rsid w:val="005A7032"/>
    <w:rsid w:val="005A7C3F"/>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56AE"/>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425"/>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C42"/>
    <w:rsid w:val="00651FAA"/>
    <w:rsid w:val="00652073"/>
    <w:rsid w:val="00652AD3"/>
    <w:rsid w:val="00654055"/>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82089"/>
    <w:rsid w:val="0068278F"/>
    <w:rsid w:val="006832E0"/>
    <w:rsid w:val="00685796"/>
    <w:rsid w:val="0068713F"/>
    <w:rsid w:val="00690BB2"/>
    <w:rsid w:val="0069143F"/>
    <w:rsid w:val="006916C4"/>
    <w:rsid w:val="00691761"/>
    <w:rsid w:val="006925D0"/>
    <w:rsid w:val="00692F17"/>
    <w:rsid w:val="00693315"/>
    <w:rsid w:val="00693C1F"/>
    <w:rsid w:val="0069416B"/>
    <w:rsid w:val="00696335"/>
    <w:rsid w:val="0069645C"/>
    <w:rsid w:val="0069693B"/>
    <w:rsid w:val="00696F88"/>
    <w:rsid w:val="00697043"/>
    <w:rsid w:val="006A02AD"/>
    <w:rsid w:val="006A200C"/>
    <w:rsid w:val="006A27C8"/>
    <w:rsid w:val="006A368F"/>
    <w:rsid w:val="006A41A8"/>
    <w:rsid w:val="006A433E"/>
    <w:rsid w:val="006A474C"/>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0FFB"/>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C24"/>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2791"/>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25F0"/>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A04B9"/>
    <w:rsid w:val="007A11B5"/>
    <w:rsid w:val="007A14F7"/>
    <w:rsid w:val="007A1634"/>
    <w:rsid w:val="007A2376"/>
    <w:rsid w:val="007A34D1"/>
    <w:rsid w:val="007A426C"/>
    <w:rsid w:val="007A4355"/>
    <w:rsid w:val="007A4541"/>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4AC"/>
    <w:rsid w:val="00851B67"/>
    <w:rsid w:val="00852451"/>
    <w:rsid w:val="008528EF"/>
    <w:rsid w:val="00852E82"/>
    <w:rsid w:val="0085329C"/>
    <w:rsid w:val="0085353C"/>
    <w:rsid w:val="00853C2D"/>
    <w:rsid w:val="00853F7C"/>
    <w:rsid w:val="008542CC"/>
    <w:rsid w:val="00855C8D"/>
    <w:rsid w:val="00855F8F"/>
    <w:rsid w:val="00860260"/>
    <w:rsid w:val="00860510"/>
    <w:rsid w:val="00860B32"/>
    <w:rsid w:val="00860F0D"/>
    <w:rsid w:val="00860F0F"/>
    <w:rsid w:val="00860F8C"/>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003"/>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A00C1"/>
    <w:rsid w:val="008A0165"/>
    <w:rsid w:val="008A036A"/>
    <w:rsid w:val="008A086E"/>
    <w:rsid w:val="008A0DDD"/>
    <w:rsid w:val="008A11AC"/>
    <w:rsid w:val="008A15A4"/>
    <w:rsid w:val="008A1E85"/>
    <w:rsid w:val="008A1EFA"/>
    <w:rsid w:val="008A20AB"/>
    <w:rsid w:val="008A2F31"/>
    <w:rsid w:val="008A2FA3"/>
    <w:rsid w:val="008A3553"/>
    <w:rsid w:val="008A3FD3"/>
    <w:rsid w:val="008A48FF"/>
    <w:rsid w:val="008A574D"/>
    <w:rsid w:val="008A65B5"/>
    <w:rsid w:val="008A66F4"/>
    <w:rsid w:val="008A762F"/>
    <w:rsid w:val="008A7DAE"/>
    <w:rsid w:val="008B0871"/>
    <w:rsid w:val="008B13B4"/>
    <w:rsid w:val="008B1AEF"/>
    <w:rsid w:val="008B29FD"/>
    <w:rsid w:val="008B2C0E"/>
    <w:rsid w:val="008B2E46"/>
    <w:rsid w:val="008B3519"/>
    <w:rsid w:val="008B48F5"/>
    <w:rsid w:val="008B526F"/>
    <w:rsid w:val="008B5FFE"/>
    <w:rsid w:val="008B60AD"/>
    <w:rsid w:val="008B6191"/>
    <w:rsid w:val="008B7B8D"/>
    <w:rsid w:val="008C0765"/>
    <w:rsid w:val="008C146A"/>
    <w:rsid w:val="008C2870"/>
    <w:rsid w:val="008C2A3D"/>
    <w:rsid w:val="008C2A7E"/>
    <w:rsid w:val="008C412D"/>
    <w:rsid w:val="008C48A3"/>
    <w:rsid w:val="008C4BCD"/>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103A"/>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5B1"/>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4FA0"/>
    <w:rsid w:val="009655BB"/>
    <w:rsid w:val="00965662"/>
    <w:rsid w:val="0096587B"/>
    <w:rsid w:val="00965972"/>
    <w:rsid w:val="00965B85"/>
    <w:rsid w:val="00965CC9"/>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753"/>
    <w:rsid w:val="009D37F8"/>
    <w:rsid w:val="009D484D"/>
    <w:rsid w:val="009D5CD2"/>
    <w:rsid w:val="009D7140"/>
    <w:rsid w:val="009E0BD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295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372"/>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70F"/>
    <w:rsid w:val="00A72F35"/>
    <w:rsid w:val="00A7337B"/>
    <w:rsid w:val="00A738A8"/>
    <w:rsid w:val="00A73B6B"/>
    <w:rsid w:val="00A73D3B"/>
    <w:rsid w:val="00A73DA2"/>
    <w:rsid w:val="00A73EA0"/>
    <w:rsid w:val="00A7431C"/>
    <w:rsid w:val="00A753EF"/>
    <w:rsid w:val="00A753FF"/>
    <w:rsid w:val="00A768E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4A1"/>
    <w:rsid w:val="00AC257A"/>
    <w:rsid w:val="00AC2FEF"/>
    <w:rsid w:val="00AC371C"/>
    <w:rsid w:val="00AC378B"/>
    <w:rsid w:val="00AC3AFB"/>
    <w:rsid w:val="00AC4492"/>
    <w:rsid w:val="00AC48D3"/>
    <w:rsid w:val="00AC4BCC"/>
    <w:rsid w:val="00AC5A69"/>
    <w:rsid w:val="00AC6EE8"/>
    <w:rsid w:val="00AD12E4"/>
    <w:rsid w:val="00AD14AF"/>
    <w:rsid w:val="00AD2AE4"/>
    <w:rsid w:val="00AD3367"/>
    <w:rsid w:val="00AD3FF8"/>
    <w:rsid w:val="00AD4427"/>
    <w:rsid w:val="00AD5E55"/>
    <w:rsid w:val="00AD6F0B"/>
    <w:rsid w:val="00AD708A"/>
    <w:rsid w:val="00AD7447"/>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1BFF"/>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5E12"/>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49"/>
    <w:rsid w:val="00B457B9"/>
    <w:rsid w:val="00B4653C"/>
    <w:rsid w:val="00B469F6"/>
    <w:rsid w:val="00B4705F"/>
    <w:rsid w:val="00B4796E"/>
    <w:rsid w:val="00B50104"/>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9B6"/>
    <w:rsid w:val="00B72F68"/>
    <w:rsid w:val="00B74005"/>
    <w:rsid w:val="00B7482D"/>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0F2"/>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5CA2"/>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282B"/>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46A6"/>
    <w:rsid w:val="00C85D47"/>
    <w:rsid w:val="00C85FA9"/>
    <w:rsid w:val="00C867D8"/>
    <w:rsid w:val="00C86E2C"/>
    <w:rsid w:val="00C8706A"/>
    <w:rsid w:val="00C8749B"/>
    <w:rsid w:val="00C87546"/>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444"/>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59C"/>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0E63"/>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E86"/>
    <w:rsid w:val="00EB23B5"/>
    <w:rsid w:val="00EB34CC"/>
    <w:rsid w:val="00EB3B0C"/>
    <w:rsid w:val="00EB3F55"/>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18C"/>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5739"/>
    <w:rsid w:val="00F86483"/>
    <w:rsid w:val="00F8659D"/>
    <w:rsid w:val="00F86E9F"/>
    <w:rsid w:val="00F872AC"/>
    <w:rsid w:val="00F8735E"/>
    <w:rsid w:val="00F8762E"/>
    <w:rsid w:val="00F8789C"/>
    <w:rsid w:val="00F87CFC"/>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CC2"/>
    <w:rsid w:val="00FF069C"/>
    <w:rsid w:val="00FF0F56"/>
    <w:rsid w:val="00FF10D9"/>
    <w:rsid w:val="00FF1882"/>
    <w:rsid w:val="00FF2F2C"/>
    <w:rsid w:val="00FF38B8"/>
    <w:rsid w:val="00FF3AB4"/>
    <w:rsid w:val="00FF3B5A"/>
    <w:rsid w:val="00FF4317"/>
    <w:rsid w:val="00FF4962"/>
    <w:rsid w:val="00FF5C03"/>
    <w:rsid w:val="00FF600C"/>
    <w:rsid w:val="00FF603F"/>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1AA25-F835-462F-A4A6-BED4204102A2}">
  <ds:schemaRefs>
    <ds:schemaRef ds:uri="http://schemas.openxmlformats.org/officeDocument/2006/bibliography"/>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1137</Words>
  <Characters>6714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3</cp:revision>
  <cp:lastPrinted>2021-02-17T20:24:00Z</cp:lastPrinted>
  <dcterms:created xsi:type="dcterms:W3CDTF">2023-07-04T07:42:00Z</dcterms:created>
  <dcterms:modified xsi:type="dcterms:W3CDTF">2023-07-04T07:42:00Z</dcterms:modified>
</cp:coreProperties>
</file>